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15B" w:rsidRDefault="005D515B" w:rsidP="005D515B"/>
    <w:p w:rsidR="005D515B" w:rsidRDefault="005D515B" w:rsidP="005D515B"/>
    <w:p w:rsidR="005D515B" w:rsidRDefault="005D515B" w:rsidP="005D515B"/>
    <w:p w:rsidR="005D515B" w:rsidRDefault="005D515B" w:rsidP="005D515B"/>
    <w:p w:rsidR="005D515B" w:rsidRDefault="005D515B" w:rsidP="005D515B">
      <w:pPr>
        <w:autoSpaceDE w:val="0"/>
        <w:autoSpaceDN w:val="0"/>
        <w:adjustRightInd w:val="0"/>
        <w:jc w:val="center"/>
        <w:rPr>
          <w:rFonts w:ascii="Times New Roman" w:hAnsi="Times New Roman" w:cs="Times New Roman"/>
          <w:color w:val="365F92"/>
          <w:sz w:val="28"/>
          <w:szCs w:val="28"/>
        </w:rPr>
      </w:pPr>
    </w:p>
    <w:p w:rsidR="005D515B" w:rsidRDefault="005D515B" w:rsidP="005D515B">
      <w:pPr>
        <w:autoSpaceDE w:val="0"/>
        <w:autoSpaceDN w:val="0"/>
        <w:adjustRightInd w:val="0"/>
        <w:jc w:val="center"/>
        <w:rPr>
          <w:rFonts w:ascii="Times New Roman" w:hAnsi="Times New Roman" w:cs="Times New Roman"/>
          <w:color w:val="365F92"/>
          <w:sz w:val="28"/>
          <w:szCs w:val="28"/>
        </w:rPr>
      </w:pPr>
    </w:p>
    <w:p w:rsidR="003952E9" w:rsidRDefault="003952E9" w:rsidP="005D515B">
      <w:pPr>
        <w:autoSpaceDE w:val="0"/>
        <w:autoSpaceDN w:val="0"/>
        <w:adjustRightInd w:val="0"/>
        <w:jc w:val="center"/>
        <w:rPr>
          <w:rFonts w:ascii="Times New Roman" w:hAnsi="Times New Roman" w:cs="Times New Roman"/>
          <w:color w:val="365F92"/>
          <w:sz w:val="28"/>
          <w:szCs w:val="28"/>
        </w:rPr>
      </w:pPr>
    </w:p>
    <w:p w:rsidR="003952E9" w:rsidRDefault="003952E9" w:rsidP="005D515B">
      <w:pPr>
        <w:autoSpaceDE w:val="0"/>
        <w:autoSpaceDN w:val="0"/>
        <w:adjustRightInd w:val="0"/>
        <w:jc w:val="center"/>
        <w:rPr>
          <w:rFonts w:ascii="Times New Roman" w:hAnsi="Times New Roman" w:cs="Times New Roman"/>
          <w:color w:val="365F92"/>
          <w:sz w:val="28"/>
          <w:szCs w:val="28"/>
        </w:rPr>
      </w:pPr>
    </w:p>
    <w:p w:rsidR="003952E9" w:rsidRDefault="003952E9" w:rsidP="005D515B">
      <w:pPr>
        <w:autoSpaceDE w:val="0"/>
        <w:autoSpaceDN w:val="0"/>
        <w:adjustRightInd w:val="0"/>
        <w:jc w:val="center"/>
        <w:rPr>
          <w:rFonts w:ascii="Times New Roman" w:hAnsi="Times New Roman" w:cs="Times New Roman"/>
          <w:color w:val="365F92"/>
          <w:sz w:val="28"/>
          <w:szCs w:val="28"/>
        </w:rPr>
      </w:pPr>
    </w:p>
    <w:p w:rsidR="005D515B" w:rsidRDefault="005D515B" w:rsidP="005D515B">
      <w:pPr>
        <w:autoSpaceDE w:val="0"/>
        <w:autoSpaceDN w:val="0"/>
        <w:adjustRightInd w:val="0"/>
        <w:jc w:val="center"/>
        <w:rPr>
          <w:rFonts w:ascii="Times New Roman" w:hAnsi="Times New Roman" w:cs="Times New Roman"/>
          <w:color w:val="365F92"/>
          <w:sz w:val="28"/>
          <w:szCs w:val="28"/>
        </w:rPr>
      </w:pPr>
    </w:p>
    <w:p w:rsidR="003952E9" w:rsidRDefault="003952E9" w:rsidP="005D515B">
      <w:pPr>
        <w:autoSpaceDE w:val="0"/>
        <w:autoSpaceDN w:val="0"/>
        <w:adjustRightInd w:val="0"/>
        <w:jc w:val="center"/>
        <w:rPr>
          <w:rFonts w:ascii="Times New Roman" w:hAnsi="Times New Roman" w:cs="Times New Roman"/>
          <w:color w:val="365F92"/>
          <w:sz w:val="28"/>
          <w:szCs w:val="28"/>
        </w:rPr>
      </w:pPr>
    </w:p>
    <w:p w:rsidR="003952E9" w:rsidRDefault="003952E9" w:rsidP="005D515B">
      <w:pPr>
        <w:autoSpaceDE w:val="0"/>
        <w:autoSpaceDN w:val="0"/>
        <w:adjustRightInd w:val="0"/>
        <w:jc w:val="center"/>
        <w:rPr>
          <w:rFonts w:ascii="Times New Roman" w:hAnsi="Times New Roman" w:cs="Times New Roman"/>
          <w:color w:val="365F92"/>
          <w:sz w:val="28"/>
          <w:szCs w:val="28"/>
        </w:rPr>
      </w:pPr>
    </w:p>
    <w:p w:rsidR="003952E9" w:rsidRDefault="003952E9" w:rsidP="005D515B">
      <w:pPr>
        <w:autoSpaceDE w:val="0"/>
        <w:autoSpaceDN w:val="0"/>
        <w:adjustRightInd w:val="0"/>
        <w:jc w:val="center"/>
        <w:rPr>
          <w:rFonts w:ascii="Times New Roman" w:hAnsi="Times New Roman" w:cs="Times New Roman"/>
          <w:color w:val="365F92"/>
          <w:sz w:val="28"/>
          <w:szCs w:val="28"/>
        </w:rPr>
      </w:pPr>
    </w:p>
    <w:p w:rsidR="005D515B" w:rsidRPr="00C46AD1" w:rsidRDefault="005D515B" w:rsidP="005D515B">
      <w:pPr>
        <w:autoSpaceDE w:val="0"/>
        <w:autoSpaceDN w:val="0"/>
        <w:adjustRightInd w:val="0"/>
        <w:jc w:val="center"/>
        <w:rPr>
          <w:rFonts w:ascii="Times New Roman" w:hAnsi="Times New Roman" w:cs="Times New Roman"/>
          <w:color w:val="365F92"/>
          <w:sz w:val="28"/>
          <w:szCs w:val="28"/>
        </w:rPr>
      </w:pPr>
      <w:r w:rsidRPr="00C46AD1">
        <w:rPr>
          <w:rFonts w:ascii="Times New Roman" w:hAnsi="Times New Roman" w:cs="Times New Roman"/>
          <w:color w:val="365F92"/>
          <w:sz w:val="28"/>
          <w:szCs w:val="28"/>
        </w:rPr>
        <w:t>CIF CLEAN TECHNOLOGY FUND:</w:t>
      </w:r>
    </w:p>
    <w:p w:rsidR="005D515B" w:rsidRDefault="005D515B" w:rsidP="005D515B">
      <w:pPr>
        <w:autoSpaceDE w:val="0"/>
        <w:autoSpaceDN w:val="0"/>
        <w:adjustRightInd w:val="0"/>
        <w:jc w:val="center"/>
        <w:rPr>
          <w:rFonts w:ascii="Times New Roman" w:hAnsi="Times New Roman" w:cs="Times New Roman"/>
          <w:color w:val="365F92"/>
          <w:sz w:val="28"/>
          <w:szCs w:val="28"/>
        </w:rPr>
      </w:pPr>
    </w:p>
    <w:p w:rsidR="005D515B" w:rsidRPr="00C46AD1" w:rsidRDefault="005D515B" w:rsidP="005D515B">
      <w:pPr>
        <w:autoSpaceDE w:val="0"/>
        <w:autoSpaceDN w:val="0"/>
        <w:adjustRightInd w:val="0"/>
        <w:jc w:val="center"/>
        <w:rPr>
          <w:rFonts w:ascii="Times New Roman" w:hAnsi="Times New Roman" w:cs="Times New Roman"/>
          <w:color w:val="365F92"/>
          <w:sz w:val="28"/>
          <w:szCs w:val="28"/>
        </w:rPr>
      </w:pPr>
      <w:r w:rsidRPr="00C46AD1">
        <w:rPr>
          <w:rFonts w:ascii="Times New Roman" w:hAnsi="Times New Roman" w:cs="Times New Roman"/>
          <w:color w:val="365F92"/>
          <w:sz w:val="28"/>
          <w:szCs w:val="28"/>
        </w:rPr>
        <w:t>EMERGING PERSPECTIVES AND LESSONS LEARNED</w:t>
      </w:r>
    </w:p>
    <w:p w:rsidR="003952E9" w:rsidRDefault="003952E9" w:rsidP="005D515B">
      <w:pPr>
        <w:autoSpaceDE w:val="0"/>
        <w:autoSpaceDN w:val="0"/>
        <w:adjustRightInd w:val="0"/>
        <w:jc w:val="center"/>
        <w:rPr>
          <w:rFonts w:ascii="Times New Roman" w:hAnsi="Times New Roman" w:cs="Times New Roman"/>
          <w:color w:val="365F92"/>
          <w:sz w:val="28"/>
          <w:szCs w:val="28"/>
        </w:rPr>
      </w:pPr>
    </w:p>
    <w:p w:rsidR="005D515B" w:rsidRPr="00C46AD1" w:rsidRDefault="005D515B" w:rsidP="005D515B">
      <w:pPr>
        <w:autoSpaceDE w:val="0"/>
        <w:autoSpaceDN w:val="0"/>
        <w:adjustRightInd w:val="0"/>
        <w:jc w:val="center"/>
        <w:rPr>
          <w:rFonts w:ascii="Times New Roman" w:hAnsi="Times New Roman" w:cs="Times New Roman"/>
          <w:color w:val="365F92"/>
          <w:sz w:val="28"/>
          <w:szCs w:val="28"/>
        </w:rPr>
      </w:pPr>
      <w:r w:rsidRPr="00C46AD1">
        <w:rPr>
          <w:rFonts w:ascii="Times New Roman" w:hAnsi="Times New Roman" w:cs="Times New Roman"/>
          <w:color w:val="365F92"/>
          <w:sz w:val="28"/>
          <w:szCs w:val="28"/>
        </w:rPr>
        <w:t>FROM COUNTRY LEVEL PROGRAMMING</w:t>
      </w:r>
    </w:p>
    <w:p w:rsidR="005D515B" w:rsidRDefault="005D515B" w:rsidP="005D515B">
      <w:pPr>
        <w:autoSpaceDE w:val="0"/>
        <w:autoSpaceDN w:val="0"/>
        <w:adjustRightInd w:val="0"/>
        <w:rPr>
          <w:rFonts w:ascii="TTFF595940t00" w:hAnsi="TTFF595940t00" w:cs="TTFF595940t00"/>
          <w:color w:val="365F92"/>
          <w:sz w:val="28"/>
          <w:szCs w:val="28"/>
        </w:rPr>
      </w:pPr>
    </w:p>
    <w:p w:rsidR="005D515B" w:rsidRDefault="005D515B" w:rsidP="005D515B">
      <w:pPr>
        <w:autoSpaceDE w:val="0"/>
        <w:autoSpaceDN w:val="0"/>
        <w:adjustRightInd w:val="0"/>
        <w:rPr>
          <w:rFonts w:ascii="TTFF5910C0t00" w:hAnsi="TTFF5910C0t00" w:cs="TTFF5910C0t00"/>
          <w:color w:val="000000"/>
        </w:rPr>
      </w:pPr>
    </w:p>
    <w:p w:rsidR="003952E9" w:rsidRDefault="003952E9" w:rsidP="005D515B">
      <w:pPr>
        <w:autoSpaceDE w:val="0"/>
        <w:autoSpaceDN w:val="0"/>
        <w:adjustRightInd w:val="0"/>
        <w:rPr>
          <w:rFonts w:ascii="TTFF5910C0t00" w:hAnsi="TTFF5910C0t00" w:cs="TTFF5910C0t00"/>
          <w:color w:val="000000"/>
        </w:rPr>
      </w:pPr>
    </w:p>
    <w:p w:rsidR="005D515B" w:rsidRDefault="005D515B" w:rsidP="005D515B">
      <w:pPr>
        <w:autoSpaceDE w:val="0"/>
        <w:autoSpaceDN w:val="0"/>
        <w:adjustRightInd w:val="0"/>
        <w:rPr>
          <w:rFonts w:ascii="TTFF5910C0t00" w:hAnsi="TTFF5910C0t00" w:cs="TTFF5910C0t00"/>
          <w:color w:val="000000"/>
        </w:rPr>
      </w:pPr>
    </w:p>
    <w:p w:rsidR="005D515B" w:rsidRPr="00C46AD1" w:rsidRDefault="005D515B" w:rsidP="005D515B">
      <w:pPr>
        <w:autoSpaceDE w:val="0"/>
        <w:autoSpaceDN w:val="0"/>
        <w:adjustRightInd w:val="0"/>
        <w:jc w:val="center"/>
        <w:rPr>
          <w:rFonts w:ascii="Times New Roman" w:hAnsi="Times New Roman" w:cs="Times New Roman"/>
          <w:color w:val="000000"/>
        </w:rPr>
      </w:pPr>
      <w:r w:rsidRPr="00C46AD1">
        <w:rPr>
          <w:rFonts w:ascii="Times New Roman" w:hAnsi="Times New Roman" w:cs="Times New Roman"/>
          <w:color w:val="000000"/>
        </w:rPr>
        <w:t>DRAFT LEARNING BRIEF AND CONSULTATIVE DISCUSSION PAPER</w:t>
      </w:r>
    </w:p>
    <w:p w:rsidR="005D515B" w:rsidRDefault="005D515B" w:rsidP="005D515B">
      <w:pPr>
        <w:autoSpaceDE w:val="0"/>
        <w:autoSpaceDN w:val="0"/>
        <w:adjustRightInd w:val="0"/>
        <w:jc w:val="center"/>
        <w:rPr>
          <w:rFonts w:ascii="TTFF5910C0t00" w:hAnsi="TTFF5910C0t00" w:cs="TTFF5910C0t00"/>
          <w:color w:val="000000"/>
        </w:rPr>
      </w:pPr>
    </w:p>
    <w:p w:rsidR="005D515B" w:rsidRDefault="005D515B" w:rsidP="005D515B">
      <w:pPr>
        <w:autoSpaceDE w:val="0"/>
        <w:autoSpaceDN w:val="0"/>
        <w:adjustRightInd w:val="0"/>
        <w:rPr>
          <w:rFonts w:ascii="TTFF5910C0t00" w:hAnsi="TTFF5910C0t00" w:cs="TTFF5910C0t00"/>
          <w:color w:val="000000"/>
        </w:rPr>
      </w:pPr>
    </w:p>
    <w:p w:rsidR="005D515B" w:rsidRDefault="005D515B" w:rsidP="005D515B">
      <w:pPr>
        <w:autoSpaceDE w:val="0"/>
        <w:autoSpaceDN w:val="0"/>
        <w:adjustRightInd w:val="0"/>
        <w:rPr>
          <w:rFonts w:ascii="TTFF5910C0t00" w:hAnsi="TTFF5910C0t00" w:cs="TTFF5910C0t00"/>
          <w:color w:val="000000"/>
        </w:rPr>
      </w:pPr>
    </w:p>
    <w:p w:rsidR="005D515B" w:rsidRDefault="005D515B" w:rsidP="005D515B">
      <w:pPr>
        <w:autoSpaceDE w:val="0"/>
        <w:autoSpaceDN w:val="0"/>
        <w:adjustRightInd w:val="0"/>
        <w:rPr>
          <w:rFonts w:ascii="TTFF5910C0t00" w:hAnsi="TTFF5910C0t00" w:cs="TTFF5910C0t00"/>
          <w:color w:val="000000"/>
        </w:rPr>
      </w:pPr>
    </w:p>
    <w:p w:rsidR="005D515B" w:rsidRDefault="005D515B" w:rsidP="005D515B">
      <w:pPr>
        <w:autoSpaceDE w:val="0"/>
        <w:autoSpaceDN w:val="0"/>
        <w:adjustRightInd w:val="0"/>
        <w:rPr>
          <w:rFonts w:ascii="TTFF5910C0t00" w:hAnsi="TTFF5910C0t00" w:cs="TTFF5910C0t00"/>
          <w:color w:val="000000"/>
        </w:rPr>
      </w:pPr>
    </w:p>
    <w:p w:rsidR="005D515B" w:rsidRDefault="005D515B" w:rsidP="005D515B">
      <w:pPr>
        <w:autoSpaceDE w:val="0"/>
        <w:autoSpaceDN w:val="0"/>
        <w:adjustRightInd w:val="0"/>
        <w:rPr>
          <w:rFonts w:ascii="TTFF5910C0t00" w:hAnsi="TTFF5910C0t00" w:cs="TTFF5910C0t00"/>
          <w:color w:val="000000"/>
        </w:rPr>
      </w:pPr>
    </w:p>
    <w:p w:rsidR="005D515B" w:rsidRDefault="005D515B" w:rsidP="005D515B">
      <w:pPr>
        <w:autoSpaceDE w:val="0"/>
        <w:autoSpaceDN w:val="0"/>
        <w:adjustRightInd w:val="0"/>
        <w:rPr>
          <w:rFonts w:ascii="TTFF5910C0t00" w:hAnsi="TTFF5910C0t00" w:cs="TTFF5910C0t00"/>
          <w:color w:val="000000"/>
        </w:rPr>
      </w:pPr>
    </w:p>
    <w:p w:rsidR="005D515B" w:rsidRDefault="005D515B" w:rsidP="005D515B">
      <w:pPr>
        <w:autoSpaceDE w:val="0"/>
        <w:autoSpaceDN w:val="0"/>
        <w:adjustRightInd w:val="0"/>
        <w:rPr>
          <w:rFonts w:ascii="TTFF5910C0t00" w:hAnsi="TTFF5910C0t00" w:cs="TTFF5910C0t00"/>
          <w:color w:val="000000"/>
        </w:rPr>
      </w:pPr>
    </w:p>
    <w:p w:rsidR="005D515B" w:rsidRDefault="005D515B" w:rsidP="005D515B">
      <w:pPr>
        <w:autoSpaceDE w:val="0"/>
        <w:autoSpaceDN w:val="0"/>
        <w:adjustRightInd w:val="0"/>
        <w:rPr>
          <w:rFonts w:ascii="TTFF5910C0t00" w:hAnsi="TTFF5910C0t00" w:cs="TTFF5910C0t00"/>
          <w:color w:val="000000"/>
        </w:rPr>
      </w:pPr>
    </w:p>
    <w:p w:rsidR="005D515B" w:rsidRDefault="005D515B" w:rsidP="005D515B">
      <w:pPr>
        <w:autoSpaceDE w:val="0"/>
        <w:autoSpaceDN w:val="0"/>
        <w:adjustRightInd w:val="0"/>
        <w:rPr>
          <w:rFonts w:ascii="TTFF5910C0t00" w:hAnsi="TTFF5910C0t00" w:cs="TTFF5910C0t00"/>
          <w:color w:val="000000"/>
        </w:rPr>
      </w:pPr>
    </w:p>
    <w:p w:rsidR="005D515B" w:rsidRDefault="005D515B" w:rsidP="005D515B">
      <w:pPr>
        <w:autoSpaceDE w:val="0"/>
        <w:autoSpaceDN w:val="0"/>
        <w:adjustRightInd w:val="0"/>
        <w:rPr>
          <w:rFonts w:ascii="TTFF5910C0t00" w:hAnsi="TTFF5910C0t00" w:cs="TTFF5910C0t00"/>
          <w:color w:val="000000"/>
        </w:rPr>
      </w:pPr>
    </w:p>
    <w:p w:rsidR="005D515B" w:rsidRDefault="00D34048" w:rsidP="005D515B">
      <w:pPr>
        <w:autoSpaceDE w:val="0"/>
        <w:autoSpaceDN w:val="0"/>
        <w:adjustRightInd w:val="0"/>
        <w:rPr>
          <w:rFonts w:ascii="TTFF5910C0t00" w:hAnsi="TTFF5910C0t00" w:cs="TTFF5910C0t00"/>
          <w:color w:val="000000"/>
        </w:rPr>
      </w:pPr>
      <w:r>
        <w:rPr>
          <w:rFonts w:ascii="TTFF5910C0t00" w:hAnsi="TTFF5910C0t00" w:cs="TTFF5910C0t00"/>
          <w:noProof/>
          <w:color w:val="000000"/>
          <w:lang w:eastAsia="zh-TW"/>
        </w:rPr>
        <w:pict>
          <v:shapetype id="_x0000_t202" coordsize="21600,21600" o:spt="202" path="m,l,21600r21600,l21600,xe">
            <v:stroke joinstyle="miter"/>
            <v:path gradientshapeok="t" o:connecttype="rect"/>
          </v:shapetype>
          <v:shape id="_x0000_s1026" type="#_x0000_t202" style="position:absolute;margin-left:0;margin-top:0;width:186.35pt;height:110.6pt;z-index:251661312;mso-width-percent:400;mso-height-percent:200;mso-position-horizontal:center;mso-width-percent:400;mso-height-percent:200;mso-width-relative:margin;mso-height-relative:margin">
            <v:textbox style="mso-fit-shape-to-text:t">
              <w:txbxContent>
                <w:p w:rsidR="0066713C" w:rsidRPr="00063996" w:rsidRDefault="0066713C" w:rsidP="0066713C">
                  <w:pPr>
                    <w:jc w:val="center"/>
                    <w:rPr>
                      <w:rFonts w:ascii="Times New Roman" w:hAnsi="Times New Roman" w:cs="Times New Roman"/>
                      <w:sz w:val="22"/>
                      <w:szCs w:val="22"/>
                    </w:rPr>
                  </w:pPr>
                  <w:r>
                    <w:rPr>
                      <w:rFonts w:ascii="Times New Roman" w:hAnsi="Times New Roman" w:cs="Times New Roman"/>
                    </w:rPr>
                    <w:t>This publication is a work-in-progress and will be finalized after the discussions at the  Partnership Forum.</w:t>
                  </w:r>
                </w:p>
                <w:p w:rsidR="0066713C" w:rsidRDefault="0066713C"/>
              </w:txbxContent>
            </v:textbox>
          </v:shape>
        </w:pict>
      </w:r>
    </w:p>
    <w:p w:rsidR="005D515B" w:rsidRDefault="005D515B" w:rsidP="005D515B">
      <w:pPr>
        <w:autoSpaceDE w:val="0"/>
        <w:autoSpaceDN w:val="0"/>
        <w:adjustRightInd w:val="0"/>
        <w:rPr>
          <w:rFonts w:ascii="TTFF5910C0t00" w:hAnsi="TTFF5910C0t00" w:cs="TTFF5910C0t00"/>
          <w:color w:val="000000"/>
        </w:rPr>
      </w:pPr>
    </w:p>
    <w:p w:rsidR="005D515B" w:rsidRDefault="005D515B" w:rsidP="005D515B">
      <w:pPr>
        <w:autoSpaceDE w:val="0"/>
        <w:autoSpaceDN w:val="0"/>
        <w:adjustRightInd w:val="0"/>
        <w:rPr>
          <w:rFonts w:ascii="TTFF5910C0t00" w:hAnsi="TTFF5910C0t00" w:cs="TTFF5910C0t00"/>
          <w:color w:val="000000"/>
        </w:rPr>
      </w:pPr>
    </w:p>
    <w:p w:rsidR="005D515B" w:rsidRDefault="005D515B" w:rsidP="005D515B">
      <w:pPr>
        <w:autoSpaceDE w:val="0"/>
        <w:autoSpaceDN w:val="0"/>
        <w:adjustRightInd w:val="0"/>
        <w:rPr>
          <w:rFonts w:ascii="TTFF5910C0t00" w:hAnsi="TTFF5910C0t00" w:cs="TTFF5910C0t00"/>
          <w:color w:val="000000"/>
        </w:rPr>
      </w:pPr>
    </w:p>
    <w:p w:rsidR="005D515B" w:rsidRDefault="005D515B" w:rsidP="005D515B">
      <w:pPr>
        <w:autoSpaceDE w:val="0"/>
        <w:autoSpaceDN w:val="0"/>
        <w:adjustRightInd w:val="0"/>
        <w:rPr>
          <w:rFonts w:ascii="TTFF5910C0t00" w:hAnsi="TTFF5910C0t00" w:cs="TTFF5910C0t00"/>
          <w:color w:val="000000"/>
        </w:rPr>
      </w:pPr>
    </w:p>
    <w:p w:rsidR="005D515B" w:rsidRDefault="005D515B" w:rsidP="005D515B">
      <w:pPr>
        <w:autoSpaceDE w:val="0"/>
        <w:autoSpaceDN w:val="0"/>
        <w:adjustRightInd w:val="0"/>
        <w:rPr>
          <w:rFonts w:ascii="TTFF5910C0t00" w:hAnsi="TTFF5910C0t00" w:cs="TTFF5910C0t00"/>
          <w:color w:val="000000"/>
        </w:rPr>
      </w:pPr>
    </w:p>
    <w:p w:rsidR="005D515B" w:rsidRDefault="005D515B" w:rsidP="005D515B">
      <w:pPr>
        <w:autoSpaceDE w:val="0"/>
        <w:autoSpaceDN w:val="0"/>
        <w:adjustRightInd w:val="0"/>
        <w:rPr>
          <w:rFonts w:ascii="TTFF5910C0t00" w:hAnsi="TTFF5910C0t00" w:cs="TTFF5910C0t00"/>
          <w:color w:val="000000"/>
        </w:rPr>
      </w:pPr>
    </w:p>
    <w:p w:rsidR="005D515B" w:rsidRDefault="005D515B" w:rsidP="005D515B">
      <w:pPr>
        <w:autoSpaceDE w:val="0"/>
        <w:autoSpaceDN w:val="0"/>
        <w:adjustRightInd w:val="0"/>
        <w:rPr>
          <w:rFonts w:ascii="TTFF5910C0t00" w:hAnsi="TTFF5910C0t00" w:cs="TTFF5910C0t00"/>
          <w:color w:val="000000"/>
        </w:rPr>
      </w:pPr>
    </w:p>
    <w:p w:rsidR="004536AA" w:rsidRPr="003952E9" w:rsidRDefault="0066713C" w:rsidP="003952E9">
      <w:pPr>
        <w:jc w:val="center"/>
        <w:rPr>
          <w:rFonts w:ascii="Times New Roman" w:hAnsi="Times New Roman" w:cs="Times New Roman"/>
        </w:rPr>
      </w:pPr>
      <w:r>
        <w:rPr>
          <w:rFonts w:ascii="Times New Roman" w:hAnsi="Times New Roman" w:cs="Times New Roman"/>
          <w:color w:val="000000"/>
        </w:rPr>
        <w:t xml:space="preserve">May </w:t>
      </w:r>
      <w:r w:rsidR="005D515B" w:rsidRPr="00C46AD1">
        <w:rPr>
          <w:rFonts w:ascii="Times New Roman" w:hAnsi="Times New Roman" w:cs="Times New Roman"/>
          <w:color w:val="000000"/>
        </w:rPr>
        <w:t>201</w:t>
      </w:r>
      <w:r w:rsidR="005D515B" w:rsidRPr="00C46AD1">
        <w:rPr>
          <w:rFonts w:ascii="Times New Roman" w:hAnsi="Times New Roman" w:cs="Times New Roman"/>
          <w:noProof/>
        </w:rPr>
        <w:drawing>
          <wp:anchor distT="0" distB="0" distL="114300" distR="114300" simplePos="0" relativeHeight="251659264" behindDoc="0" locked="0" layoutInCell="1" allowOverlap="1">
            <wp:simplePos x="0" y="0"/>
            <wp:positionH relativeFrom="margin">
              <wp:posOffset>1245870</wp:posOffset>
            </wp:positionH>
            <wp:positionV relativeFrom="margin">
              <wp:posOffset>-518160</wp:posOffset>
            </wp:positionV>
            <wp:extent cx="3242310" cy="906780"/>
            <wp:effectExtent l="1905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242310" cy="906780"/>
                    </a:xfrm>
                    <a:prstGeom prst="rect">
                      <a:avLst/>
                    </a:prstGeom>
                    <a:noFill/>
                    <a:ln w="9525">
                      <a:noFill/>
                      <a:miter lim="800000"/>
                      <a:headEnd/>
                      <a:tailEnd/>
                    </a:ln>
                  </pic:spPr>
                </pic:pic>
              </a:graphicData>
            </a:graphic>
          </wp:anchor>
        </w:drawing>
      </w:r>
      <w:r w:rsidR="005D515B" w:rsidRPr="00C46AD1">
        <w:rPr>
          <w:rFonts w:ascii="Times New Roman" w:hAnsi="Times New Roman" w:cs="Times New Roman"/>
          <w:color w:val="000000"/>
        </w:rPr>
        <w:t>1</w:t>
      </w:r>
    </w:p>
    <w:p w:rsidR="003952E9" w:rsidRDefault="003952E9" w:rsidP="00B95A44">
      <w:pPr>
        <w:jc w:val="both"/>
        <w:rPr>
          <w:rFonts w:ascii="Times New Roman" w:hAnsi="Times New Roman" w:cs="Times New Roman"/>
          <w:b/>
          <w:bCs/>
        </w:rPr>
      </w:pPr>
    </w:p>
    <w:p w:rsidR="00EB7755" w:rsidRPr="00B95A44" w:rsidRDefault="00EB7755" w:rsidP="00B95A44">
      <w:pPr>
        <w:jc w:val="both"/>
        <w:rPr>
          <w:rFonts w:ascii="Times New Roman" w:hAnsi="Times New Roman" w:cs="Times New Roman"/>
          <w:b/>
          <w:bCs/>
        </w:rPr>
      </w:pPr>
      <w:r w:rsidRPr="00B95A44">
        <w:rPr>
          <w:rFonts w:ascii="Times New Roman" w:hAnsi="Times New Roman" w:cs="Times New Roman"/>
          <w:b/>
          <w:bCs/>
        </w:rPr>
        <w:lastRenderedPageBreak/>
        <w:t>Overview</w:t>
      </w:r>
    </w:p>
    <w:p w:rsidR="00E05C5F" w:rsidRPr="004536AA" w:rsidRDefault="00E05C5F" w:rsidP="004536AA">
      <w:pPr>
        <w:rPr>
          <w:rFonts w:ascii="Times New Roman" w:hAnsi="Times New Roman" w:cs="Times New Roman"/>
          <w:b/>
          <w:bCs/>
          <w:sz w:val="28"/>
          <w:szCs w:val="28"/>
        </w:rPr>
      </w:pPr>
    </w:p>
    <w:p w:rsidR="00B95A44" w:rsidRDefault="00EB7755" w:rsidP="00B95A44">
      <w:pPr>
        <w:pStyle w:val="ListParagraph"/>
        <w:numPr>
          <w:ilvl w:val="0"/>
          <w:numId w:val="15"/>
        </w:numPr>
        <w:ind w:left="0" w:firstLine="0"/>
        <w:jc w:val="both"/>
        <w:rPr>
          <w:rFonts w:ascii="Times New Roman" w:hAnsi="Times New Roman" w:cs="Times New Roman"/>
        </w:rPr>
      </w:pPr>
      <w:r w:rsidRPr="004536AA">
        <w:rPr>
          <w:rFonts w:ascii="Times New Roman" w:hAnsi="Times New Roman" w:cs="Times New Roman"/>
        </w:rPr>
        <w:t>The Clean Technology Fund (CTF) offers countries incent</w:t>
      </w:r>
      <w:r w:rsidR="002F1733" w:rsidRPr="004536AA">
        <w:rPr>
          <w:rFonts w:ascii="Times New Roman" w:hAnsi="Times New Roman" w:cs="Times New Roman"/>
        </w:rPr>
        <w:t xml:space="preserve">ives to move forward </w:t>
      </w:r>
      <w:r w:rsidRPr="004536AA">
        <w:rPr>
          <w:rFonts w:ascii="Times New Roman" w:hAnsi="Times New Roman" w:cs="Times New Roman"/>
        </w:rPr>
        <w:t>with the</w:t>
      </w:r>
      <w:r w:rsidR="00100C4F" w:rsidRPr="004536AA">
        <w:rPr>
          <w:rFonts w:ascii="Times New Roman" w:hAnsi="Times New Roman" w:cs="Times New Roman"/>
        </w:rPr>
        <w:t xml:space="preserve"> demonstration, deployment, </w:t>
      </w:r>
      <w:r w:rsidRPr="004536AA">
        <w:rPr>
          <w:rFonts w:ascii="Times New Roman" w:hAnsi="Times New Roman" w:cs="Times New Roman"/>
        </w:rPr>
        <w:t>transfer</w:t>
      </w:r>
      <w:r w:rsidR="00100C4F" w:rsidRPr="004536AA">
        <w:rPr>
          <w:rFonts w:ascii="Times New Roman" w:hAnsi="Times New Roman" w:cs="Times New Roman"/>
        </w:rPr>
        <w:t>, and replication</w:t>
      </w:r>
      <w:r w:rsidRPr="004536AA">
        <w:rPr>
          <w:rFonts w:ascii="Times New Roman" w:hAnsi="Times New Roman" w:cs="Times New Roman"/>
        </w:rPr>
        <w:t xml:space="preserve"> of clean technologies that </w:t>
      </w:r>
      <w:r w:rsidR="002D341E" w:rsidRPr="004536AA">
        <w:rPr>
          <w:rFonts w:ascii="Times New Roman" w:hAnsi="Times New Roman" w:cs="Times New Roman"/>
        </w:rPr>
        <w:t>reduce</w:t>
      </w:r>
      <w:r w:rsidRPr="004536AA">
        <w:rPr>
          <w:rFonts w:ascii="Times New Roman" w:hAnsi="Times New Roman" w:cs="Times New Roman"/>
        </w:rPr>
        <w:t xml:space="preserve"> greenhouse gas emissions.  The CTF aims to transform markets and accelerate low-carbon growth without sacrificing economic progress. </w:t>
      </w:r>
    </w:p>
    <w:p w:rsidR="00EB7755" w:rsidRPr="004536AA" w:rsidRDefault="00EB7755" w:rsidP="004536AA">
      <w:pPr>
        <w:rPr>
          <w:rFonts w:ascii="Times New Roman" w:hAnsi="Times New Roman" w:cs="Times New Roman"/>
        </w:rPr>
      </w:pPr>
    </w:p>
    <w:p w:rsidR="00EB7755" w:rsidRPr="004536AA" w:rsidRDefault="00EB7755" w:rsidP="00B95A44">
      <w:pPr>
        <w:pStyle w:val="ListParagraph"/>
        <w:numPr>
          <w:ilvl w:val="0"/>
          <w:numId w:val="15"/>
        </w:numPr>
        <w:ind w:left="0" w:firstLine="0"/>
        <w:jc w:val="both"/>
        <w:rPr>
          <w:rFonts w:ascii="Times New Roman" w:hAnsi="Times New Roman" w:cs="Times New Roman"/>
        </w:rPr>
      </w:pPr>
      <w:r w:rsidRPr="004536AA">
        <w:rPr>
          <w:rFonts w:ascii="Times New Roman" w:hAnsi="Times New Roman" w:cs="Times New Roman"/>
        </w:rPr>
        <w:t xml:space="preserve">CTF financial support is provided on a programmatic basis, with recipient countries assuming the lead in developing strategic country programs that reflect national priorities.  </w:t>
      </w:r>
      <w:r w:rsidR="00F9759A" w:rsidRPr="004536AA">
        <w:rPr>
          <w:rFonts w:ascii="Times New Roman" w:hAnsi="Times New Roman" w:cs="Times New Roman"/>
        </w:rPr>
        <w:t>G</w:t>
      </w:r>
      <w:r w:rsidR="002F1733" w:rsidRPr="004536AA">
        <w:rPr>
          <w:rFonts w:ascii="Times New Roman" w:hAnsi="Times New Roman" w:cs="Times New Roman"/>
        </w:rPr>
        <w:t xml:space="preserve">overnments </w:t>
      </w:r>
      <w:r w:rsidR="00F9759A" w:rsidRPr="004536AA">
        <w:rPr>
          <w:rFonts w:ascii="Times New Roman" w:hAnsi="Times New Roman" w:cs="Times New Roman"/>
        </w:rPr>
        <w:t>develop investment</w:t>
      </w:r>
      <w:r w:rsidRPr="004536AA">
        <w:rPr>
          <w:rFonts w:ascii="Times New Roman" w:hAnsi="Times New Roman" w:cs="Times New Roman"/>
        </w:rPr>
        <w:t xml:space="preserve"> plans in coordination with five multilateral development banks (MDBs)</w:t>
      </w:r>
      <w:r w:rsidRPr="004536AA">
        <w:rPr>
          <w:rStyle w:val="FootnoteReference"/>
          <w:rFonts w:ascii="Times New Roman" w:hAnsi="Times New Roman" w:cs="Times New Roman"/>
        </w:rPr>
        <w:footnoteReference w:id="1"/>
      </w:r>
      <w:r w:rsidR="002F1733" w:rsidRPr="004536AA">
        <w:rPr>
          <w:rFonts w:ascii="Times New Roman" w:hAnsi="Times New Roman" w:cs="Times New Roman"/>
        </w:rPr>
        <w:t xml:space="preserve"> and </w:t>
      </w:r>
      <w:r w:rsidR="00F9759A" w:rsidRPr="004536AA">
        <w:rPr>
          <w:rFonts w:ascii="Times New Roman" w:hAnsi="Times New Roman" w:cs="Times New Roman"/>
        </w:rPr>
        <w:t xml:space="preserve">other </w:t>
      </w:r>
      <w:r w:rsidR="002F1733" w:rsidRPr="004536AA">
        <w:rPr>
          <w:rFonts w:ascii="Times New Roman" w:hAnsi="Times New Roman" w:cs="Times New Roman"/>
        </w:rPr>
        <w:t xml:space="preserve">key partners, including the private sector. </w:t>
      </w:r>
    </w:p>
    <w:p w:rsidR="002F1733" w:rsidRPr="004536AA" w:rsidRDefault="002F1733" w:rsidP="00B95A44">
      <w:pPr>
        <w:jc w:val="both"/>
        <w:rPr>
          <w:rFonts w:ascii="Times New Roman" w:hAnsi="Times New Roman" w:cs="Times New Roman"/>
        </w:rPr>
      </w:pPr>
    </w:p>
    <w:p w:rsidR="00EB7755" w:rsidRPr="004536AA" w:rsidRDefault="00EB7755" w:rsidP="00B95A44">
      <w:pPr>
        <w:pStyle w:val="ListParagraph"/>
        <w:numPr>
          <w:ilvl w:val="0"/>
          <w:numId w:val="15"/>
        </w:numPr>
        <w:ind w:left="0" w:firstLine="0"/>
        <w:jc w:val="both"/>
        <w:rPr>
          <w:rFonts w:ascii="Times New Roman" w:hAnsi="Times New Roman" w:cs="Times New Roman"/>
        </w:rPr>
      </w:pPr>
      <w:r w:rsidRPr="004536AA">
        <w:rPr>
          <w:rFonts w:ascii="Times New Roman" w:hAnsi="Times New Roman" w:cs="Times New Roman"/>
        </w:rPr>
        <w:t xml:space="preserve">This programmatic and cross-sectoral approach to low carbon growth seeks to maximize the comparative advantages of development partners, eliminate duplication, and capitalize on the strengths of earlier initiatives.  Bilateral development agencies and UN development institutions </w:t>
      </w:r>
      <w:r w:rsidR="006662E6" w:rsidRPr="004536AA">
        <w:rPr>
          <w:rFonts w:ascii="Times New Roman" w:hAnsi="Times New Roman" w:cs="Times New Roman"/>
        </w:rPr>
        <w:t xml:space="preserve">are engaged at the country level and may </w:t>
      </w:r>
      <w:r w:rsidRPr="004536AA">
        <w:rPr>
          <w:rFonts w:ascii="Times New Roman" w:hAnsi="Times New Roman" w:cs="Times New Roman"/>
        </w:rPr>
        <w:t>provide co-financing or parallel financing for complementary projects and technical assistance.</w:t>
      </w:r>
    </w:p>
    <w:p w:rsidR="00EB7755" w:rsidRPr="004536AA" w:rsidRDefault="00EB7755" w:rsidP="004536AA">
      <w:pPr>
        <w:rPr>
          <w:rFonts w:ascii="Times New Roman" w:hAnsi="Times New Roman" w:cs="Times New Roman"/>
        </w:rPr>
      </w:pPr>
    </w:p>
    <w:p w:rsidR="00EB7755" w:rsidRPr="004536AA" w:rsidRDefault="002F1733" w:rsidP="00B95A44">
      <w:pPr>
        <w:pStyle w:val="ListParagraph"/>
        <w:numPr>
          <w:ilvl w:val="0"/>
          <w:numId w:val="15"/>
        </w:numPr>
        <w:ind w:left="0" w:firstLine="0"/>
        <w:jc w:val="both"/>
        <w:rPr>
          <w:rFonts w:ascii="Times New Roman" w:hAnsi="Times New Roman" w:cs="Times New Roman"/>
        </w:rPr>
      </w:pPr>
      <w:r w:rsidRPr="004536AA">
        <w:rPr>
          <w:rFonts w:ascii="Times New Roman" w:hAnsi="Times New Roman" w:cs="Times New Roman"/>
        </w:rPr>
        <w:t xml:space="preserve">In many countries, </w:t>
      </w:r>
      <w:r w:rsidR="00EB7755" w:rsidRPr="004536AA">
        <w:rPr>
          <w:rFonts w:ascii="Times New Roman" w:hAnsi="Times New Roman" w:cs="Times New Roman"/>
        </w:rPr>
        <w:t>CTF activities are coordinated b</w:t>
      </w:r>
      <w:r w:rsidR="002D341E" w:rsidRPr="004536AA">
        <w:rPr>
          <w:rFonts w:ascii="Times New Roman" w:hAnsi="Times New Roman" w:cs="Times New Roman"/>
        </w:rPr>
        <w:t>y the m</w:t>
      </w:r>
      <w:r w:rsidR="008B4F5E" w:rsidRPr="004536AA">
        <w:rPr>
          <w:rFonts w:ascii="Times New Roman" w:hAnsi="Times New Roman" w:cs="Times New Roman"/>
        </w:rPr>
        <w:t>inistries</w:t>
      </w:r>
      <w:r w:rsidR="002D341E" w:rsidRPr="004536AA">
        <w:rPr>
          <w:rFonts w:ascii="Times New Roman" w:hAnsi="Times New Roman" w:cs="Times New Roman"/>
        </w:rPr>
        <w:t xml:space="preserve"> and agencies </w:t>
      </w:r>
      <w:r w:rsidR="008B4F5E" w:rsidRPr="004536AA">
        <w:rPr>
          <w:rFonts w:ascii="Times New Roman" w:hAnsi="Times New Roman" w:cs="Times New Roman"/>
        </w:rPr>
        <w:t>responsible for f</w:t>
      </w:r>
      <w:r w:rsidR="00100C4F" w:rsidRPr="004536AA">
        <w:rPr>
          <w:rFonts w:ascii="Times New Roman" w:hAnsi="Times New Roman" w:cs="Times New Roman"/>
        </w:rPr>
        <w:t xml:space="preserve">inance or </w:t>
      </w:r>
      <w:r w:rsidR="008B4F5E" w:rsidRPr="004536AA">
        <w:rPr>
          <w:rFonts w:ascii="Times New Roman" w:hAnsi="Times New Roman" w:cs="Times New Roman"/>
        </w:rPr>
        <w:t>p</w:t>
      </w:r>
      <w:r w:rsidR="00EB7755" w:rsidRPr="004536AA">
        <w:rPr>
          <w:rFonts w:ascii="Times New Roman" w:hAnsi="Times New Roman" w:cs="Times New Roman"/>
        </w:rPr>
        <w:t xml:space="preserve">lanning, </w:t>
      </w:r>
      <w:r w:rsidR="008B4F5E" w:rsidRPr="004536AA">
        <w:rPr>
          <w:rFonts w:ascii="Times New Roman" w:hAnsi="Times New Roman" w:cs="Times New Roman"/>
        </w:rPr>
        <w:t xml:space="preserve">or both, </w:t>
      </w:r>
      <w:r w:rsidR="00EB7755" w:rsidRPr="004536AA">
        <w:rPr>
          <w:rFonts w:ascii="Times New Roman" w:hAnsi="Times New Roman" w:cs="Times New Roman"/>
        </w:rPr>
        <w:t xml:space="preserve">which ensures high-level government commitment and integration with national </w:t>
      </w:r>
      <w:r w:rsidRPr="004536AA">
        <w:rPr>
          <w:rFonts w:ascii="Times New Roman" w:hAnsi="Times New Roman" w:cs="Times New Roman"/>
        </w:rPr>
        <w:t>strategies</w:t>
      </w:r>
      <w:r w:rsidR="00EB7755" w:rsidRPr="004536AA">
        <w:rPr>
          <w:rFonts w:ascii="Times New Roman" w:hAnsi="Times New Roman" w:cs="Times New Roman"/>
        </w:rPr>
        <w:t>. The MDBs support the go</w:t>
      </w:r>
      <w:r w:rsidR="006662E6" w:rsidRPr="004536AA">
        <w:rPr>
          <w:rFonts w:ascii="Times New Roman" w:hAnsi="Times New Roman" w:cs="Times New Roman"/>
        </w:rPr>
        <w:t>vernment-led process by working with countries to achieve</w:t>
      </w:r>
      <w:r w:rsidR="00EB7755" w:rsidRPr="004536AA">
        <w:rPr>
          <w:rFonts w:ascii="Times New Roman" w:hAnsi="Times New Roman" w:cs="Times New Roman"/>
        </w:rPr>
        <w:t xml:space="preserve"> the joint programming necessary to develop a country-led investment plan and finance scaled-up opportunities for low carbon development. </w:t>
      </w:r>
      <w:r w:rsidR="00713218" w:rsidRPr="004536AA">
        <w:rPr>
          <w:rFonts w:ascii="Times New Roman" w:hAnsi="Times New Roman" w:cs="Times New Roman"/>
        </w:rPr>
        <w:t xml:space="preserve"> Government leadership is vital for sustained resource allocation and institutional restructuring.</w:t>
      </w:r>
    </w:p>
    <w:p w:rsidR="00EB7755" w:rsidRPr="004536AA" w:rsidRDefault="00EB7755" w:rsidP="00B95A44">
      <w:pPr>
        <w:jc w:val="both"/>
        <w:rPr>
          <w:rFonts w:ascii="Times New Roman" w:hAnsi="Times New Roman" w:cs="Times New Roman"/>
        </w:rPr>
      </w:pPr>
    </w:p>
    <w:p w:rsidR="00EB7755" w:rsidRPr="004536AA" w:rsidRDefault="006662E6" w:rsidP="00B95A44">
      <w:pPr>
        <w:pStyle w:val="ListParagraph"/>
        <w:numPr>
          <w:ilvl w:val="0"/>
          <w:numId w:val="15"/>
        </w:numPr>
        <w:ind w:left="0" w:firstLine="0"/>
        <w:jc w:val="both"/>
        <w:rPr>
          <w:rFonts w:ascii="Times New Roman" w:hAnsi="Times New Roman" w:cs="Times New Roman"/>
        </w:rPr>
      </w:pPr>
      <w:r w:rsidRPr="004536AA">
        <w:rPr>
          <w:rFonts w:ascii="Times New Roman" w:hAnsi="Times New Roman" w:cs="Times New Roman"/>
        </w:rPr>
        <w:t>T</w:t>
      </w:r>
      <w:r w:rsidR="00100C4F" w:rsidRPr="004536AA">
        <w:rPr>
          <w:rFonts w:ascii="Times New Roman" w:hAnsi="Times New Roman" w:cs="Times New Roman"/>
        </w:rPr>
        <w:t>he CTF Trust Fund Committee</w:t>
      </w:r>
      <w:r w:rsidR="002D341E" w:rsidRPr="004536AA">
        <w:rPr>
          <w:rFonts w:ascii="Times New Roman" w:hAnsi="Times New Roman" w:cs="Times New Roman"/>
        </w:rPr>
        <w:t xml:space="preserve">, the governing body, </w:t>
      </w:r>
      <w:r w:rsidRPr="004536AA">
        <w:rPr>
          <w:rFonts w:ascii="Times New Roman" w:hAnsi="Times New Roman" w:cs="Times New Roman"/>
        </w:rPr>
        <w:t xml:space="preserve">has </w:t>
      </w:r>
      <w:r w:rsidR="00100C4F" w:rsidRPr="004536AA">
        <w:rPr>
          <w:rFonts w:ascii="Times New Roman" w:hAnsi="Times New Roman" w:cs="Times New Roman"/>
        </w:rPr>
        <w:t>endorse</w:t>
      </w:r>
      <w:r w:rsidRPr="004536AA">
        <w:rPr>
          <w:rFonts w:ascii="Times New Roman" w:hAnsi="Times New Roman" w:cs="Times New Roman"/>
        </w:rPr>
        <w:t>d 14</w:t>
      </w:r>
      <w:r w:rsidR="00100C4F" w:rsidRPr="004536AA">
        <w:rPr>
          <w:rFonts w:ascii="Times New Roman" w:hAnsi="Times New Roman" w:cs="Times New Roman"/>
        </w:rPr>
        <w:t xml:space="preserve"> CTF investment plans</w:t>
      </w:r>
      <w:r w:rsidRPr="004536AA">
        <w:rPr>
          <w:rStyle w:val="FootnoteReference"/>
          <w:rFonts w:ascii="Times New Roman" w:hAnsi="Times New Roman" w:cs="Times New Roman"/>
        </w:rPr>
        <w:footnoteReference w:id="2"/>
      </w:r>
      <w:r w:rsidR="00100C4F" w:rsidRPr="004536AA">
        <w:rPr>
          <w:rFonts w:ascii="Times New Roman" w:hAnsi="Times New Roman" w:cs="Times New Roman"/>
        </w:rPr>
        <w:t xml:space="preserve">, which </w:t>
      </w:r>
      <w:r w:rsidR="00EB7755" w:rsidRPr="004536AA">
        <w:rPr>
          <w:rFonts w:ascii="Times New Roman" w:hAnsi="Times New Roman" w:cs="Times New Roman"/>
        </w:rPr>
        <w:t xml:space="preserve">are projected to </w:t>
      </w:r>
      <w:r w:rsidR="001D5864" w:rsidRPr="004536AA">
        <w:rPr>
          <w:rFonts w:ascii="Times New Roman" w:hAnsi="Times New Roman" w:cs="Times New Roman"/>
        </w:rPr>
        <w:t xml:space="preserve">leverage an additional </w:t>
      </w:r>
      <w:r w:rsidR="00EB7755" w:rsidRPr="004536AA">
        <w:rPr>
          <w:rFonts w:ascii="Times New Roman" w:hAnsi="Times New Roman" w:cs="Times New Roman"/>
        </w:rPr>
        <w:t xml:space="preserve">$35 billion in co-financing </w:t>
      </w:r>
      <w:r w:rsidR="001D5864" w:rsidRPr="004536AA">
        <w:rPr>
          <w:rFonts w:ascii="Times New Roman" w:hAnsi="Times New Roman" w:cs="Times New Roman"/>
        </w:rPr>
        <w:t>on a $4.4 billion CTF investment.</w:t>
      </w:r>
      <w:r w:rsidR="008B4F5E" w:rsidRPr="004536AA">
        <w:rPr>
          <w:rFonts w:ascii="Times New Roman" w:hAnsi="Times New Roman" w:cs="Times New Roman"/>
        </w:rPr>
        <w:t xml:space="preserve"> This </w:t>
      </w:r>
      <w:r w:rsidR="001D5864" w:rsidRPr="004536AA">
        <w:rPr>
          <w:rFonts w:ascii="Times New Roman" w:hAnsi="Times New Roman" w:cs="Times New Roman"/>
        </w:rPr>
        <w:t xml:space="preserve">projected </w:t>
      </w:r>
      <w:r w:rsidR="008B4F5E" w:rsidRPr="004536AA">
        <w:rPr>
          <w:rFonts w:ascii="Times New Roman" w:hAnsi="Times New Roman" w:cs="Times New Roman"/>
        </w:rPr>
        <w:t xml:space="preserve">leveraging ratio of more than 1:8 </w:t>
      </w:r>
      <w:r w:rsidR="00EB7755" w:rsidRPr="004536AA">
        <w:rPr>
          <w:rFonts w:ascii="Times New Roman" w:hAnsi="Times New Roman" w:cs="Times New Roman"/>
        </w:rPr>
        <w:t xml:space="preserve">represents a </w:t>
      </w:r>
      <w:r w:rsidR="001D5864" w:rsidRPr="004536AA">
        <w:rPr>
          <w:rFonts w:ascii="Times New Roman" w:hAnsi="Times New Roman" w:cs="Times New Roman"/>
        </w:rPr>
        <w:t>significant investment</w:t>
      </w:r>
      <w:r w:rsidR="00EB7755" w:rsidRPr="004536AA">
        <w:rPr>
          <w:rFonts w:ascii="Times New Roman" w:hAnsi="Times New Roman" w:cs="Times New Roman"/>
        </w:rPr>
        <w:t xml:space="preserve"> in climate change mitigation in </w:t>
      </w:r>
      <w:r w:rsidR="004D48CF" w:rsidRPr="004536AA">
        <w:rPr>
          <w:rFonts w:ascii="Times New Roman" w:hAnsi="Times New Roman" w:cs="Times New Roman"/>
        </w:rPr>
        <w:t xml:space="preserve">CTF partner </w:t>
      </w:r>
      <w:r w:rsidR="00EB7755" w:rsidRPr="004536AA">
        <w:rPr>
          <w:rFonts w:ascii="Times New Roman" w:hAnsi="Times New Roman" w:cs="Times New Roman"/>
        </w:rPr>
        <w:t>countries.</w:t>
      </w:r>
    </w:p>
    <w:p w:rsidR="00EB7755" w:rsidRPr="004536AA" w:rsidRDefault="00EB7755" w:rsidP="00B95A44">
      <w:pPr>
        <w:jc w:val="both"/>
        <w:rPr>
          <w:rFonts w:ascii="Times New Roman" w:hAnsi="Times New Roman" w:cs="Times New Roman"/>
        </w:rPr>
      </w:pPr>
    </w:p>
    <w:p w:rsidR="00EB7755" w:rsidRPr="004536AA" w:rsidRDefault="005E341F" w:rsidP="00B95A44">
      <w:pPr>
        <w:pStyle w:val="ListParagraph"/>
        <w:numPr>
          <w:ilvl w:val="0"/>
          <w:numId w:val="15"/>
        </w:numPr>
        <w:ind w:left="0" w:firstLine="0"/>
        <w:jc w:val="both"/>
        <w:rPr>
          <w:rFonts w:ascii="Times New Roman" w:hAnsi="Times New Roman" w:cs="Times New Roman"/>
        </w:rPr>
      </w:pPr>
      <w:r w:rsidRPr="004536AA">
        <w:rPr>
          <w:rFonts w:ascii="Times New Roman" w:hAnsi="Times New Roman" w:cs="Times New Roman"/>
        </w:rPr>
        <w:t>Scaling up</w:t>
      </w:r>
      <w:r w:rsidR="00100C4F" w:rsidRPr="004536AA">
        <w:rPr>
          <w:rFonts w:ascii="Times New Roman" w:hAnsi="Times New Roman" w:cs="Times New Roman"/>
        </w:rPr>
        <w:t xml:space="preserve"> climate finance</w:t>
      </w:r>
      <w:r w:rsidR="003C5FDC" w:rsidRPr="004536AA">
        <w:rPr>
          <w:rFonts w:ascii="Times New Roman" w:hAnsi="Times New Roman" w:cs="Times New Roman"/>
        </w:rPr>
        <w:t xml:space="preserve">, </w:t>
      </w:r>
      <w:r w:rsidR="001D5864" w:rsidRPr="004536AA">
        <w:rPr>
          <w:rFonts w:ascii="Times New Roman" w:hAnsi="Times New Roman" w:cs="Times New Roman"/>
        </w:rPr>
        <w:t xml:space="preserve">adapting and replicating clean technology models, </w:t>
      </w:r>
      <w:r w:rsidR="00100C4F" w:rsidRPr="004536AA">
        <w:rPr>
          <w:rFonts w:ascii="Times New Roman" w:hAnsi="Times New Roman" w:cs="Times New Roman"/>
        </w:rPr>
        <w:t xml:space="preserve">and </w:t>
      </w:r>
      <w:r w:rsidR="00EB7755" w:rsidRPr="004536AA">
        <w:rPr>
          <w:rFonts w:ascii="Times New Roman" w:hAnsi="Times New Roman" w:cs="Times New Roman"/>
        </w:rPr>
        <w:t>design</w:t>
      </w:r>
      <w:r w:rsidR="00100C4F" w:rsidRPr="004536AA">
        <w:rPr>
          <w:rFonts w:ascii="Times New Roman" w:hAnsi="Times New Roman" w:cs="Times New Roman"/>
        </w:rPr>
        <w:t>ing</w:t>
      </w:r>
      <w:r w:rsidR="00EB7755" w:rsidRPr="004536AA">
        <w:rPr>
          <w:rFonts w:ascii="Times New Roman" w:hAnsi="Times New Roman" w:cs="Times New Roman"/>
        </w:rPr>
        <w:t xml:space="preserve"> and implement</w:t>
      </w:r>
      <w:r w:rsidR="00100C4F" w:rsidRPr="004536AA">
        <w:rPr>
          <w:rFonts w:ascii="Times New Roman" w:hAnsi="Times New Roman" w:cs="Times New Roman"/>
        </w:rPr>
        <w:t xml:space="preserve">ing </w:t>
      </w:r>
      <w:r w:rsidR="00EB7755" w:rsidRPr="004536AA">
        <w:rPr>
          <w:rFonts w:ascii="Times New Roman" w:hAnsi="Times New Roman" w:cs="Times New Roman"/>
        </w:rPr>
        <w:t>in</w:t>
      </w:r>
      <w:r w:rsidR="001D5864" w:rsidRPr="004536AA">
        <w:rPr>
          <w:rFonts w:ascii="Times New Roman" w:hAnsi="Times New Roman" w:cs="Times New Roman"/>
        </w:rPr>
        <w:t xml:space="preserve">vestments </w:t>
      </w:r>
      <w:r w:rsidR="00100C4F" w:rsidRPr="004536AA">
        <w:rPr>
          <w:rFonts w:ascii="Times New Roman" w:hAnsi="Times New Roman" w:cs="Times New Roman"/>
        </w:rPr>
        <w:t>are</w:t>
      </w:r>
      <w:r w:rsidR="00EB7755" w:rsidRPr="004536AA">
        <w:rPr>
          <w:rFonts w:ascii="Times New Roman" w:hAnsi="Times New Roman" w:cs="Times New Roman"/>
        </w:rPr>
        <w:t xml:space="preserve"> at the heart of the CTF mission.  Capturing the experiences and lessons emerging from these efforts, and sharing them with CTF’s broad stakeholder community, enables effective stakeholder participation and supports national, regional, and global replication of CTF activities.</w:t>
      </w:r>
    </w:p>
    <w:p w:rsidR="00EB7755" w:rsidRPr="004536AA" w:rsidRDefault="00EB7755" w:rsidP="00B95A44">
      <w:pPr>
        <w:jc w:val="both"/>
        <w:rPr>
          <w:rFonts w:ascii="Times New Roman" w:hAnsi="Times New Roman" w:cs="Times New Roman"/>
        </w:rPr>
      </w:pPr>
    </w:p>
    <w:p w:rsidR="00EB7755" w:rsidRPr="004536AA" w:rsidRDefault="00EB7755" w:rsidP="00B95A44">
      <w:pPr>
        <w:pStyle w:val="ListParagraph"/>
        <w:numPr>
          <w:ilvl w:val="0"/>
          <w:numId w:val="15"/>
        </w:numPr>
        <w:ind w:left="0" w:firstLine="0"/>
        <w:jc w:val="both"/>
        <w:rPr>
          <w:rFonts w:ascii="Times New Roman" w:hAnsi="Times New Roman" w:cs="Times New Roman"/>
        </w:rPr>
      </w:pPr>
      <w:r w:rsidRPr="004536AA">
        <w:rPr>
          <w:rFonts w:ascii="Times New Roman" w:hAnsi="Times New Roman" w:cs="Times New Roman"/>
        </w:rPr>
        <w:t>This Learning Brief is one of several tools designed to capture the lessons from the overall CTF experience.  O</w:t>
      </w:r>
      <w:r w:rsidR="004D48CF" w:rsidRPr="004536AA">
        <w:rPr>
          <w:rFonts w:ascii="Times New Roman" w:hAnsi="Times New Roman" w:cs="Times New Roman"/>
        </w:rPr>
        <w:t xml:space="preserve">thers include regular CTF partner </w:t>
      </w:r>
      <w:r w:rsidRPr="004536AA">
        <w:rPr>
          <w:rFonts w:ascii="Times New Roman" w:hAnsi="Times New Roman" w:cs="Times New Roman"/>
        </w:rPr>
        <w:t xml:space="preserve">country meetings, the annual </w:t>
      </w:r>
      <w:r w:rsidR="00B76FD9" w:rsidRPr="004536AA">
        <w:rPr>
          <w:rFonts w:ascii="Times New Roman" w:hAnsi="Times New Roman" w:cs="Times New Roman"/>
        </w:rPr>
        <w:t xml:space="preserve">CIF </w:t>
      </w:r>
      <w:r w:rsidRPr="004536AA">
        <w:rPr>
          <w:rFonts w:ascii="Times New Roman" w:hAnsi="Times New Roman" w:cs="Times New Roman"/>
        </w:rPr>
        <w:t>Partnership Forum,</w:t>
      </w:r>
      <w:r w:rsidR="00100C4F" w:rsidRPr="004536AA">
        <w:rPr>
          <w:rFonts w:ascii="Times New Roman" w:hAnsi="Times New Roman" w:cs="Times New Roman"/>
        </w:rPr>
        <w:t xml:space="preserve"> </w:t>
      </w:r>
      <w:r w:rsidRPr="004536AA">
        <w:rPr>
          <w:rFonts w:ascii="Times New Roman" w:hAnsi="Times New Roman" w:cs="Times New Roman"/>
        </w:rPr>
        <w:t xml:space="preserve">an interactive web-based platform </w:t>
      </w:r>
      <w:r w:rsidR="00100C4F" w:rsidRPr="004536AA">
        <w:rPr>
          <w:rFonts w:ascii="Times New Roman" w:hAnsi="Times New Roman" w:cs="Times New Roman"/>
        </w:rPr>
        <w:t>for commu</w:t>
      </w:r>
      <w:r w:rsidR="008B4F5E" w:rsidRPr="004536AA">
        <w:rPr>
          <w:rFonts w:ascii="Times New Roman" w:hAnsi="Times New Roman" w:cs="Times New Roman"/>
        </w:rPr>
        <w:t xml:space="preserve">nications and learning, and </w:t>
      </w:r>
      <w:r w:rsidR="00100C4F" w:rsidRPr="004536AA">
        <w:rPr>
          <w:rFonts w:ascii="Times New Roman" w:hAnsi="Times New Roman" w:cs="Times New Roman"/>
        </w:rPr>
        <w:t>grant-financed country workshops.</w:t>
      </w:r>
    </w:p>
    <w:p w:rsidR="00EB7755" w:rsidRPr="004536AA" w:rsidRDefault="00EB7755" w:rsidP="004536AA">
      <w:pPr>
        <w:rPr>
          <w:rFonts w:ascii="Times New Roman" w:hAnsi="Times New Roman" w:cs="Times New Roman"/>
        </w:rPr>
      </w:pPr>
    </w:p>
    <w:p w:rsidR="00B95A44" w:rsidRPr="00B95A44" w:rsidRDefault="00EB7755" w:rsidP="00B95A44">
      <w:pPr>
        <w:pStyle w:val="ListParagraph"/>
        <w:numPr>
          <w:ilvl w:val="0"/>
          <w:numId w:val="15"/>
        </w:numPr>
        <w:ind w:left="0" w:firstLine="0"/>
        <w:jc w:val="both"/>
        <w:rPr>
          <w:rFonts w:ascii="Times New Roman" w:hAnsi="Times New Roman" w:cs="Times New Roman"/>
        </w:rPr>
      </w:pPr>
      <w:r w:rsidRPr="004536AA">
        <w:rPr>
          <w:rFonts w:ascii="Times New Roman" w:hAnsi="Times New Roman" w:cs="Times New Roman"/>
        </w:rPr>
        <w:t>The CIF Administrative Unit has commission</w:t>
      </w:r>
      <w:r w:rsidR="00B95A44">
        <w:rPr>
          <w:rFonts w:ascii="Times New Roman" w:hAnsi="Times New Roman" w:cs="Times New Roman"/>
        </w:rPr>
        <w:t xml:space="preserve">ed an independent consultant to </w:t>
      </w:r>
      <w:r w:rsidRPr="004536AA">
        <w:rPr>
          <w:rFonts w:ascii="Times New Roman" w:hAnsi="Times New Roman" w:cs="Times New Roman"/>
        </w:rPr>
        <w:t>document country experiences and the lessons learned during CTF’s design and early implementation phases</w:t>
      </w:r>
      <w:r w:rsidR="00DE6073" w:rsidRPr="004536AA">
        <w:rPr>
          <w:rFonts w:ascii="Times New Roman" w:hAnsi="Times New Roman" w:cs="Times New Roman"/>
        </w:rPr>
        <w:t>, with a</w:t>
      </w:r>
      <w:r w:rsidR="002F1733" w:rsidRPr="004536AA">
        <w:rPr>
          <w:rFonts w:ascii="Times New Roman" w:hAnsi="Times New Roman" w:cs="Times New Roman"/>
        </w:rPr>
        <w:t xml:space="preserve"> primary focus on </w:t>
      </w:r>
      <w:r w:rsidR="004D48CF" w:rsidRPr="004536AA">
        <w:rPr>
          <w:rFonts w:ascii="Times New Roman" w:hAnsi="Times New Roman" w:cs="Times New Roman"/>
        </w:rPr>
        <w:t xml:space="preserve">four partner </w:t>
      </w:r>
      <w:r w:rsidRPr="004536AA">
        <w:rPr>
          <w:rFonts w:ascii="Times New Roman" w:hAnsi="Times New Roman" w:cs="Times New Roman"/>
        </w:rPr>
        <w:t>countries</w:t>
      </w:r>
      <w:r w:rsidR="00DE6073" w:rsidRPr="004536AA">
        <w:rPr>
          <w:rFonts w:ascii="Times New Roman" w:hAnsi="Times New Roman" w:cs="Times New Roman"/>
        </w:rPr>
        <w:t>.</w:t>
      </w:r>
      <w:r w:rsidRPr="004536AA">
        <w:rPr>
          <w:rStyle w:val="FootnoteReference"/>
          <w:rFonts w:ascii="Times New Roman" w:hAnsi="Times New Roman" w:cs="Times New Roman"/>
        </w:rPr>
        <w:footnoteReference w:id="3"/>
      </w:r>
      <w:r w:rsidR="002F1733" w:rsidRPr="004536AA">
        <w:rPr>
          <w:rFonts w:ascii="Times New Roman" w:hAnsi="Times New Roman" w:cs="Times New Roman"/>
        </w:rPr>
        <w:t xml:space="preserve">  The co</w:t>
      </w:r>
      <w:r w:rsidR="004D48CF" w:rsidRPr="004536AA">
        <w:rPr>
          <w:rFonts w:ascii="Times New Roman" w:hAnsi="Times New Roman" w:cs="Times New Roman"/>
        </w:rPr>
        <w:t>nsultant visited all four countries</w:t>
      </w:r>
      <w:r w:rsidR="002F1733" w:rsidRPr="004536AA">
        <w:rPr>
          <w:rFonts w:ascii="Times New Roman" w:hAnsi="Times New Roman" w:cs="Times New Roman"/>
        </w:rPr>
        <w:t xml:space="preserve">, </w:t>
      </w:r>
      <w:r w:rsidRPr="004536AA">
        <w:rPr>
          <w:rFonts w:ascii="Times New Roman" w:hAnsi="Times New Roman" w:cs="Times New Roman"/>
        </w:rPr>
        <w:t>interviewed stakeholders and development partners, and reviewed relevant CTF documents.  This CTF Learning Brief is distilled from the consultant’s findings.</w:t>
      </w:r>
    </w:p>
    <w:p w:rsidR="00C75D4C" w:rsidRPr="004536AA" w:rsidRDefault="00C75D4C" w:rsidP="004536AA">
      <w:pPr>
        <w:rPr>
          <w:rFonts w:ascii="Times New Roman" w:hAnsi="Times New Roman" w:cs="Times New Roman"/>
        </w:rPr>
      </w:pPr>
    </w:p>
    <w:p w:rsidR="00E05C5F" w:rsidRPr="004536AA" w:rsidRDefault="00E05C5F" w:rsidP="004536AA">
      <w:pPr>
        <w:rPr>
          <w:rFonts w:ascii="Times New Roman" w:hAnsi="Times New Roman" w:cs="Times New Roman"/>
        </w:rPr>
      </w:pPr>
    </w:p>
    <w:p w:rsidR="00EB7755" w:rsidRPr="004536AA" w:rsidRDefault="00C75D4C" w:rsidP="00164C9C">
      <w:pPr>
        <w:jc w:val="both"/>
        <w:rPr>
          <w:rFonts w:ascii="Times New Roman" w:hAnsi="Times New Roman" w:cs="Times New Roman"/>
          <w:b/>
        </w:rPr>
      </w:pPr>
      <w:r w:rsidRPr="004536AA">
        <w:rPr>
          <w:rFonts w:ascii="Times New Roman" w:hAnsi="Times New Roman" w:cs="Times New Roman"/>
          <w:b/>
        </w:rPr>
        <w:t>Key CTF Lessons</w:t>
      </w:r>
    </w:p>
    <w:p w:rsidR="004536AA" w:rsidRDefault="004536AA" w:rsidP="00164C9C">
      <w:pPr>
        <w:pStyle w:val="ListParagraph"/>
        <w:ind w:left="360"/>
        <w:jc w:val="both"/>
        <w:rPr>
          <w:rFonts w:ascii="Times New Roman" w:hAnsi="Times New Roman" w:cs="Times New Roman"/>
          <w:i/>
        </w:rPr>
      </w:pPr>
    </w:p>
    <w:p w:rsidR="007F457F" w:rsidRPr="004536AA" w:rsidRDefault="007F457F" w:rsidP="00164C9C">
      <w:pPr>
        <w:pStyle w:val="ListParagraph"/>
        <w:numPr>
          <w:ilvl w:val="0"/>
          <w:numId w:val="15"/>
        </w:numPr>
        <w:ind w:left="0" w:firstLine="0"/>
        <w:jc w:val="both"/>
        <w:rPr>
          <w:rFonts w:ascii="Times New Roman" w:hAnsi="Times New Roman" w:cs="Times New Roman"/>
          <w:i/>
        </w:rPr>
      </w:pPr>
      <w:r w:rsidRPr="004536AA">
        <w:rPr>
          <w:rFonts w:ascii="Times New Roman" w:hAnsi="Times New Roman" w:cs="Times New Roman"/>
          <w:i/>
        </w:rPr>
        <w:t>Country Leadership</w:t>
      </w:r>
      <w:r w:rsidR="004536AA">
        <w:rPr>
          <w:rFonts w:ascii="Times New Roman" w:hAnsi="Times New Roman" w:cs="Times New Roman"/>
          <w:i/>
        </w:rPr>
        <w:t xml:space="preserve">:  </w:t>
      </w:r>
      <w:r w:rsidR="004536AA" w:rsidRPr="004536AA">
        <w:rPr>
          <w:rFonts w:ascii="Times New Roman" w:hAnsi="Times New Roman" w:cs="Times New Roman"/>
        </w:rPr>
        <w:t>Aligning investment pla</w:t>
      </w:r>
      <w:r w:rsidRPr="004536AA">
        <w:rPr>
          <w:rFonts w:ascii="Times New Roman" w:hAnsi="Times New Roman" w:cs="Times New Roman"/>
        </w:rPr>
        <w:t>ns with national strategies can strengthen country ownership and maximize the effectiveness of MDB interventions.  CTF’s potential to bring about the rapid deployment of low carbon technologi</w:t>
      </w:r>
      <w:r w:rsidR="00B76FD9" w:rsidRPr="004536AA">
        <w:rPr>
          <w:rFonts w:ascii="Times New Roman" w:hAnsi="Times New Roman" w:cs="Times New Roman"/>
        </w:rPr>
        <w:t xml:space="preserve">es </w:t>
      </w:r>
      <w:r w:rsidR="009552F7" w:rsidRPr="004536AA">
        <w:rPr>
          <w:rFonts w:ascii="Times New Roman" w:hAnsi="Times New Roman" w:cs="Times New Roman"/>
        </w:rPr>
        <w:t xml:space="preserve">can </w:t>
      </w:r>
      <w:r w:rsidR="00F9759A" w:rsidRPr="004536AA">
        <w:rPr>
          <w:rFonts w:ascii="Times New Roman" w:hAnsi="Times New Roman" w:cs="Times New Roman"/>
        </w:rPr>
        <w:t>only be</w:t>
      </w:r>
      <w:r w:rsidRPr="004536AA">
        <w:rPr>
          <w:rFonts w:ascii="Times New Roman" w:hAnsi="Times New Roman" w:cs="Times New Roman"/>
        </w:rPr>
        <w:t xml:space="preserve"> realized</w:t>
      </w:r>
      <w:r w:rsidR="00F9759A" w:rsidRPr="004536AA">
        <w:rPr>
          <w:rFonts w:ascii="Times New Roman" w:hAnsi="Times New Roman" w:cs="Times New Roman"/>
        </w:rPr>
        <w:t xml:space="preserve"> when countries are in the driver’s seat.</w:t>
      </w:r>
    </w:p>
    <w:p w:rsidR="007F457F" w:rsidRPr="004536AA" w:rsidRDefault="007F457F" w:rsidP="00164C9C">
      <w:pPr>
        <w:pStyle w:val="ListParagraph"/>
        <w:jc w:val="both"/>
        <w:rPr>
          <w:rFonts w:ascii="Times New Roman" w:hAnsi="Times New Roman" w:cs="Times New Roman"/>
          <w:i/>
        </w:rPr>
      </w:pPr>
    </w:p>
    <w:p w:rsidR="007B28E2" w:rsidRPr="004536AA" w:rsidRDefault="007B28E2" w:rsidP="00164C9C">
      <w:pPr>
        <w:pStyle w:val="ListParagraph"/>
        <w:numPr>
          <w:ilvl w:val="0"/>
          <w:numId w:val="15"/>
        </w:numPr>
        <w:ind w:left="0" w:firstLine="0"/>
        <w:jc w:val="both"/>
        <w:rPr>
          <w:rFonts w:ascii="Times New Roman" w:hAnsi="Times New Roman" w:cs="Times New Roman"/>
          <w:i/>
        </w:rPr>
      </w:pPr>
      <w:r w:rsidRPr="004536AA">
        <w:rPr>
          <w:rFonts w:ascii="Times New Roman" w:hAnsi="Times New Roman" w:cs="Times New Roman"/>
          <w:i/>
        </w:rPr>
        <w:t>Transformational Change</w:t>
      </w:r>
      <w:r w:rsidR="004536AA">
        <w:rPr>
          <w:rFonts w:ascii="Times New Roman" w:hAnsi="Times New Roman" w:cs="Times New Roman"/>
          <w:i/>
        </w:rPr>
        <w:t xml:space="preserve">:  </w:t>
      </w:r>
      <w:r w:rsidRPr="004536AA">
        <w:rPr>
          <w:rFonts w:ascii="Times New Roman" w:hAnsi="Times New Roman" w:cs="Times New Roman"/>
        </w:rPr>
        <w:t>By targeting priority sectors and niche markets with high potential, CTF investment plans create momentum to catalyze greater investment and help crystallize the kind of planning that can lead to market transformations.</w:t>
      </w:r>
    </w:p>
    <w:p w:rsidR="007F457F" w:rsidRPr="004536AA" w:rsidRDefault="007F457F" w:rsidP="00164C9C">
      <w:pPr>
        <w:jc w:val="both"/>
        <w:rPr>
          <w:rFonts w:ascii="Times New Roman" w:hAnsi="Times New Roman" w:cs="Times New Roman"/>
        </w:rPr>
      </w:pPr>
    </w:p>
    <w:p w:rsidR="007F457F" w:rsidRPr="004536AA" w:rsidRDefault="007F457F" w:rsidP="00164C9C">
      <w:pPr>
        <w:pStyle w:val="ListParagraph"/>
        <w:numPr>
          <w:ilvl w:val="0"/>
          <w:numId w:val="15"/>
        </w:numPr>
        <w:ind w:left="0" w:firstLine="0"/>
        <w:jc w:val="both"/>
        <w:rPr>
          <w:rFonts w:ascii="Times New Roman" w:hAnsi="Times New Roman" w:cs="Times New Roman"/>
          <w:i/>
        </w:rPr>
      </w:pPr>
      <w:r w:rsidRPr="004536AA">
        <w:rPr>
          <w:rFonts w:ascii="Times New Roman" w:hAnsi="Times New Roman" w:cs="Times New Roman"/>
          <w:i/>
        </w:rPr>
        <w:t>Leveraging</w:t>
      </w:r>
      <w:r w:rsidR="004536AA">
        <w:rPr>
          <w:rFonts w:ascii="Times New Roman" w:hAnsi="Times New Roman" w:cs="Times New Roman"/>
          <w:i/>
        </w:rPr>
        <w:t xml:space="preserve">:  </w:t>
      </w:r>
      <w:r w:rsidRPr="004536AA">
        <w:rPr>
          <w:rFonts w:ascii="Times New Roman" w:hAnsi="Times New Roman" w:cs="Times New Roman"/>
        </w:rPr>
        <w:t xml:space="preserve">The CTF’s projected 1:8 leveraging potential reflects </w:t>
      </w:r>
      <w:r w:rsidR="00B76FD9" w:rsidRPr="004536AA">
        <w:rPr>
          <w:rFonts w:ascii="Times New Roman" w:hAnsi="Times New Roman" w:cs="Times New Roman"/>
        </w:rPr>
        <w:t xml:space="preserve">the attractiveness of innovative CTF investment and business opportunities, </w:t>
      </w:r>
      <w:r w:rsidRPr="004536AA">
        <w:rPr>
          <w:rFonts w:ascii="Times New Roman" w:hAnsi="Times New Roman" w:cs="Times New Roman"/>
        </w:rPr>
        <w:t xml:space="preserve">the effectiveness of the MDB partnership model, </w:t>
      </w:r>
      <w:r w:rsidR="00B76FD9" w:rsidRPr="004536AA">
        <w:rPr>
          <w:rFonts w:ascii="Times New Roman" w:hAnsi="Times New Roman" w:cs="Times New Roman"/>
        </w:rPr>
        <w:t xml:space="preserve">and the fact that </w:t>
      </w:r>
      <w:r w:rsidRPr="004536AA">
        <w:rPr>
          <w:rFonts w:ascii="Times New Roman" w:hAnsi="Times New Roman" w:cs="Times New Roman"/>
        </w:rPr>
        <w:t xml:space="preserve">large-scale CTF funding </w:t>
      </w:r>
      <w:r w:rsidR="00B76FD9" w:rsidRPr="004536AA">
        <w:rPr>
          <w:rFonts w:ascii="Times New Roman" w:hAnsi="Times New Roman" w:cs="Times New Roman"/>
        </w:rPr>
        <w:t xml:space="preserve">is available </w:t>
      </w:r>
      <w:r w:rsidRPr="004536AA">
        <w:rPr>
          <w:rFonts w:ascii="Times New Roman" w:hAnsi="Times New Roman" w:cs="Times New Roman"/>
        </w:rPr>
        <w:t>for technologies that reduce greenhouse gas emissions.</w:t>
      </w:r>
    </w:p>
    <w:p w:rsidR="007B28E2" w:rsidRPr="004536AA" w:rsidRDefault="007B28E2" w:rsidP="00164C9C">
      <w:pPr>
        <w:jc w:val="both"/>
        <w:rPr>
          <w:rFonts w:ascii="Times New Roman" w:hAnsi="Times New Roman" w:cs="Times New Roman"/>
          <w:i/>
        </w:rPr>
      </w:pPr>
    </w:p>
    <w:p w:rsidR="00C75D4C" w:rsidRPr="004536AA" w:rsidRDefault="00C75D4C" w:rsidP="00164C9C">
      <w:pPr>
        <w:pStyle w:val="ListParagraph"/>
        <w:numPr>
          <w:ilvl w:val="0"/>
          <w:numId w:val="15"/>
        </w:numPr>
        <w:ind w:left="0" w:firstLine="0"/>
        <w:jc w:val="both"/>
        <w:rPr>
          <w:rFonts w:ascii="Times New Roman" w:hAnsi="Times New Roman" w:cs="Times New Roman"/>
          <w:i/>
        </w:rPr>
      </w:pPr>
      <w:r w:rsidRPr="004536AA">
        <w:rPr>
          <w:rFonts w:ascii="Times New Roman" w:hAnsi="Times New Roman" w:cs="Times New Roman"/>
          <w:i/>
        </w:rPr>
        <w:t>Unique Partnership</w:t>
      </w:r>
      <w:r w:rsidR="004536AA">
        <w:rPr>
          <w:rFonts w:ascii="Times New Roman" w:hAnsi="Times New Roman" w:cs="Times New Roman"/>
          <w:i/>
        </w:rPr>
        <w:t xml:space="preserve">:  </w:t>
      </w:r>
      <w:r w:rsidRPr="004536AA">
        <w:rPr>
          <w:rFonts w:ascii="Times New Roman" w:hAnsi="Times New Roman" w:cs="Times New Roman"/>
        </w:rPr>
        <w:t>Coordinated action and collaboration by governments, MDBs, bilateral agencies, and other development partners is crucial</w:t>
      </w:r>
      <w:r w:rsidR="004D48CF" w:rsidRPr="004536AA">
        <w:rPr>
          <w:rFonts w:ascii="Times New Roman" w:hAnsi="Times New Roman" w:cs="Times New Roman"/>
        </w:rPr>
        <w:t xml:space="preserve"> to building synergies, eliminating duplication, and avoiding</w:t>
      </w:r>
      <w:r w:rsidRPr="004536AA">
        <w:rPr>
          <w:rFonts w:ascii="Times New Roman" w:hAnsi="Times New Roman" w:cs="Times New Roman"/>
        </w:rPr>
        <w:t xml:space="preserve"> inefficiencies. CTF’s programmatic approach is designed to support the capacity building, policy reform, and </w:t>
      </w:r>
      <w:r w:rsidR="00680A04">
        <w:rPr>
          <w:rFonts w:ascii="Times New Roman" w:hAnsi="Times New Roman" w:cs="Times New Roman"/>
        </w:rPr>
        <w:t xml:space="preserve">investments </w:t>
      </w:r>
      <w:r w:rsidR="004D48CF" w:rsidRPr="004536AA">
        <w:rPr>
          <w:rFonts w:ascii="Times New Roman" w:hAnsi="Times New Roman" w:cs="Times New Roman"/>
        </w:rPr>
        <w:t>that are necessary for</w:t>
      </w:r>
      <w:r w:rsidRPr="004536AA">
        <w:rPr>
          <w:rFonts w:ascii="Times New Roman" w:hAnsi="Times New Roman" w:cs="Times New Roman"/>
        </w:rPr>
        <w:t xml:space="preserve"> successful replication.</w:t>
      </w:r>
      <w:r w:rsidR="004D48CF" w:rsidRPr="004536AA">
        <w:rPr>
          <w:rFonts w:ascii="Times New Roman" w:hAnsi="Times New Roman" w:cs="Times New Roman"/>
        </w:rPr>
        <w:t xml:space="preserve"> MDB country assistance mechanisms, such as Development Policy Loans, can complement CTF investments.</w:t>
      </w:r>
    </w:p>
    <w:p w:rsidR="007F457F" w:rsidRPr="004536AA" w:rsidRDefault="007F457F" w:rsidP="00164C9C">
      <w:pPr>
        <w:jc w:val="both"/>
        <w:rPr>
          <w:rFonts w:ascii="Times New Roman" w:hAnsi="Times New Roman" w:cs="Times New Roman"/>
        </w:rPr>
      </w:pPr>
    </w:p>
    <w:p w:rsidR="007B28E2" w:rsidRPr="004536AA" w:rsidRDefault="007F457F" w:rsidP="00164C9C">
      <w:pPr>
        <w:pStyle w:val="ListParagraph"/>
        <w:numPr>
          <w:ilvl w:val="0"/>
          <w:numId w:val="15"/>
        </w:numPr>
        <w:ind w:left="0" w:firstLine="0"/>
        <w:jc w:val="both"/>
        <w:rPr>
          <w:rFonts w:ascii="Times New Roman" w:hAnsi="Times New Roman" w:cs="Times New Roman"/>
          <w:i/>
        </w:rPr>
      </w:pPr>
      <w:r w:rsidRPr="004536AA">
        <w:rPr>
          <w:rFonts w:ascii="Times New Roman" w:hAnsi="Times New Roman" w:cs="Times New Roman"/>
          <w:i/>
        </w:rPr>
        <w:t>The Private Secto</w:t>
      </w:r>
      <w:r w:rsidR="004536AA">
        <w:rPr>
          <w:rFonts w:ascii="Times New Roman" w:hAnsi="Times New Roman" w:cs="Times New Roman"/>
          <w:i/>
        </w:rPr>
        <w:t xml:space="preserve">r:  </w:t>
      </w:r>
      <w:r w:rsidRPr="004536AA">
        <w:rPr>
          <w:rFonts w:ascii="Times New Roman" w:hAnsi="Times New Roman" w:cs="Times New Roman"/>
        </w:rPr>
        <w:t>Scaling up clean technology and achieving transformational change in a country or region can only happen when the private sector is engaged and committed.  To date, the private sector response to the CTF has been positive but limited.   The challenge is to fully engage the private sector from the initial investment planning phase through full project implementation.</w:t>
      </w:r>
    </w:p>
    <w:p w:rsidR="006662E6" w:rsidRPr="004536AA" w:rsidRDefault="006662E6" w:rsidP="00164C9C">
      <w:pPr>
        <w:jc w:val="both"/>
        <w:rPr>
          <w:rFonts w:ascii="Times New Roman" w:hAnsi="Times New Roman" w:cs="Times New Roman"/>
        </w:rPr>
      </w:pPr>
    </w:p>
    <w:p w:rsidR="00DE6073" w:rsidRPr="004536AA" w:rsidRDefault="006662E6" w:rsidP="00164C9C">
      <w:pPr>
        <w:pStyle w:val="ListParagraph"/>
        <w:numPr>
          <w:ilvl w:val="0"/>
          <w:numId w:val="15"/>
        </w:numPr>
        <w:ind w:left="0" w:firstLine="0"/>
        <w:jc w:val="both"/>
        <w:rPr>
          <w:rFonts w:ascii="Times New Roman" w:hAnsi="Times New Roman" w:cs="Times New Roman"/>
        </w:rPr>
      </w:pPr>
      <w:r w:rsidRPr="004536AA">
        <w:rPr>
          <w:rFonts w:ascii="Times New Roman" w:hAnsi="Times New Roman" w:cs="Times New Roman"/>
        </w:rPr>
        <w:t xml:space="preserve">The Brief is based on three themes:  country programming, </w:t>
      </w:r>
      <w:smartTag w:uri="urn:schemas-microsoft-com:office:smarttags" w:element="stockticker">
        <w:r w:rsidRPr="004536AA">
          <w:rPr>
            <w:rFonts w:ascii="Times New Roman" w:hAnsi="Times New Roman" w:cs="Times New Roman"/>
          </w:rPr>
          <w:t>MDB</w:t>
        </w:r>
      </w:smartTag>
      <w:r w:rsidRPr="004536AA">
        <w:rPr>
          <w:rFonts w:ascii="Times New Roman" w:hAnsi="Times New Roman" w:cs="Times New Roman"/>
        </w:rPr>
        <w:t xml:space="preserve"> collaboration, and collaborations with the private sector and other stakeholders.  The brief is intended to provide useful information to enhance and strengthen CTF’s performance during full implementation.  These early lessons will also inform country teams involved in the other CIF programs: the Forest Investment Program (FIP), Pilot Program for Climate Resilience (PPCR), and Scaling Up Renewable Energy Program in Low Income Countries (SREP).</w:t>
      </w:r>
    </w:p>
    <w:p w:rsidR="00DE6073" w:rsidRPr="004536AA" w:rsidRDefault="00DE6073" w:rsidP="004536AA">
      <w:pPr>
        <w:rPr>
          <w:rFonts w:ascii="Times New Roman" w:hAnsi="Times New Roman" w:cs="Times New Roman"/>
          <w:b/>
          <w:bCs/>
        </w:rPr>
      </w:pPr>
    </w:p>
    <w:p w:rsidR="00EB7755" w:rsidRPr="001B2808" w:rsidRDefault="00EB7755" w:rsidP="00164C9C">
      <w:pPr>
        <w:jc w:val="both"/>
        <w:rPr>
          <w:rFonts w:ascii="Times New Roman" w:hAnsi="Times New Roman" w:cs="Times New Roman"/>
          <w:b/>
          <w:bCs/>
        </w:rPr>
      </w:pPr>
      <w:r w:rsidRPr="001B2808">
        <w:rPr>
          <w:rFonts w:ascii="Times New Roman" w:hAnsi="Times New Roman" w:cs="Times New Roman"/>
          <w:b/>
          <w:bCs/>
        </w:rPr>
        <w:t>Country Programming</w:t>
      </w:r>
    </w:p>
    <w:p w:rsidR="00EB7755" w:rsidRPr="004536AA" w:rsidRDefault="00EB7755" w:rsidP="00164C9C">
      <w:pPr>
        <w:jc w:val="both"/>
        <w:rPr>
          <w:rFonts w:ascii="Times New Roman" w:hAnsi="Times New Roman" w:cs="Times New Roman"/>
          <w:b/>
          <w:bCs/>
        </w:rPr>
      </w:pPr>
    </w:p>
    <w:p w:rsidR="00EB7755" w:rsidRPr="004536AA" w:rsidRDefault="00EB7755" w:rsidP="00164C9C">
      <w:pPr>
        <w:pStyle w:val="ListParagraph"/>
        <w:numPr>
          <w:ilvl w:val="0"/>
          <w:numId w:val="15"/>
        </w:numPr>
        <w:ind w:left="0" w:firstLine="0"/>
        <w:jc w:val="both"/>
        <w:rPr>
          <w:rFonts w:ascii="Times New Roman" w:hAnsi="Times New Roman" w:cs="Times New Roman"/>
        </w:rPr>
      </w:pPr>
      <w:r w:rsidRPr="004536AA">
        <w:rPr>
          <w:rFonts w:ascii="Times New Roman" w:hAnsi="Times New Roman" w:cs="Times New Roman"/>
        </w:rPr>
        <w:t>The CTF targets middle-income countries, where established institutions, skilled personnel, and relatively developed energy and transportation markets are the norm.  The governments have a history of working wi</w:t>
      </w:r>
      <w:r w:rsidR="00CF1842" w:rsidRPr="004536AA">
        <w:rPr>
          <w:rFonts w:ascii="Times New Roman" w:hAnsi="Times New Roman" w:cs="Times New Roman"/>
        </w:rPr>
        <w:t>th experienced financiers and</w:t>
      </w:r>
      <w:r w:rsidRPr="004536AA">
        <w:rPr>
          <w:rFonts w:ascii="Times New Roman" w:hAnsi="Times New Roman" w:cs="Times New Roman"/>
        </w:rPr>
        <w:t xml:space="preserve"> i</w:t>
      </w:r>
      <w:r w:rsidR="00CF1842" w:rsidRPr="004536AA">
        <w:rPr>
          <w:rFonts w:ascii="Times New Roman" w:hAnsi="Times New Roman" w:cs="Times New Roman"/>
        </w:rPr>
        <w:t xml:space="preserve">nvestors, </w:t>
      </w:r>
      <w:r w:rsidRPr="004536AA">
        <w:rPr>
          <w:rFonts w:ascii="Times New Roman" w:hAnsi="Times New Roman" w:cs="Times New Roman"/>
        </w:rPr>
        <w:t>so the potential for sophisticated business and development opportunities is high.  Neve</w:t>
      </w:r>
      <w:r w:rsidR="00DE6073" w:rsidRPr="004536AA">
        <w:rPr>
          <w:rFonts w:ascii="Times New Roman" w:hAnsi="Times New Roman" w:cs="Times New Roman"/>
        </w:rPr>
        <w:t xml:space="preserve">rtheless, these countries </w:t>
      </w:r>
      <w:r w:rsidRPr="004536AA">
        <w:rPr>
          <w:rFonts w:ascii="Times New Roman" w:hAnsi="Times New Roman" w:cs="Times New Roman"/>
        </w:rPr>
        <w:t>have policy and financing gaps that must be ad</w:t>
      </w:r>
      <w:r w:rsidR="0062712A" w:rsidRPr="004536AA">
        <w:rPr>
          <w:rFonts w:ascii="Times New Roman" w:hAnsi="Times New Roman" w:cs="Times New Roman"/>
        </w:rPr>
        <w:t xml:space="preserve">dressed before they can achieve </w:t>
      </w:r>
      <w:r w:rsidRPr="004536AA">
        <w:rPr>
          <w:rFonts w:ascii="Times New Roman" w:hAnsi="Times New Roman" w:cs="Times New Roman"/>
        </w:rPr>
        <w:t xml:space="preserve">low carbon growth.  Following are the lessons learned from CTF’s early experiences with country programming. </w:t>
      </w:r>
    </w:p>
    <w:p w:rsidR="00EB7755" w:rsidRPr="004536AA" w:rsidRDefault="00EB7755" w:rsidP="00B95A44">
      <w:pPr>
        <w:jc w:val="both"/>
        <w:rPr>
          <w:rFonts w:ascii="Times New Roman" w:hAnsi="Times New Roman" w:cs="Times New Roman"/>
          <w:b/>
          <w:bCs/>
          <w:i/>
          <w:iCs/>
        </w:rPr>
      </w:pPr>
    </w:p>
    <w:p w:rsidR="00EB7755" w:rsidRPr="004536AA" w:rsidRDefault="00EB7755" w:rsidP="00164C9C">
      <w:pPr>
        <w:jc w:val="both"/>
        <w:rPr>
          <w:rFonts w:ascii="Times New Roman" w:hAnsi="Times New Roman" w:cs="Times New Roman"/>
          <w:b/>
          <w:bCs/>
          <w:i/>
          <w:iCs/>
        </w:rPr>
      </w:pPr>
      <w:r w:rsidRPr="004536AA">
        <w:rPr>
          <w:rFonts w:ascii="Times New Roman" w:hAnsi="Times New Roman" w:cs="Times New Roman"/>
          <w:b/>
          <w:bCs/>
          <w:i/>
          <w:iCs/>
        </w:rPr>
        <w:t>Country Leadership</w:t>
      </w:r>
    </w:p>
    <w:p w:rsidR="00EB7755" w:rsidRPr="004536AA" w:rsidRDefault="00EB7755" w:rsidP="00164C9C">
      <w:pPr>
        <w:jc w:val="both"/>
        <w:rPr>
          <w:rFonts w:ascii="Times New Roman" w:hAnsi="Times New Roman" w:cs="Times New Roman"/>
          <w:b/>
          <w:bCs/>
          <w:i/>
          <w:iCs/>
        </w:rPr>
      </w:pPr>
    </w:p>
    <w:p w:rsidR="0051439A" w:rsidRPr="004536AA" w:rsidRDefault="00EB7755" w:rsidP="00164C9C">
      <w:pPr>
        <w:pStyle w:val="ListParagraph"/>
        <w:numPr>
          <w:ilvl w:val="0"/>
          <w:numId w:val="15"/>
        </w:numPr>
        <w:ind w:left="0" w:firstLine="0"/>
        <w:jc w:val="both"/>
        <w:rPr>
          <w:rFonts w:ascii="Times New Roman" w:hAnsi="Times New Roman" w:cs="Times New Roman"/>
        </w:rPr>
      </w:pPr>
      <w:r w:rsidRPr="004536AA">
        <w:rPr>
          <w:rFonts w:ascii="Times New Roman" w:hAnsi="Times New Roman" w:cs="Times New Roman"/>
          <w:b/>
          <w:bCs/>
        </w:rPr>
        <w:t xml:space="preserve">Country ownership is stronger and investment plans are </w:t>
      </w:r>
      <w:r w:rsidR="008B59A4" w:rsidRPr="004536AA">
        <w:rPr>
          <w:rFonts w:ascii="Times New Roman" w:hAnsi="Times New Roman" w:cs="Times New Roman"/>
          <w:b/>
          <w:bCs/>
        </w:rPr>
        <w:t>timelier when the Ministries responsible for finance and p</w:t>
      </w:r>
      <w:r w:rsidRPr="004536AA">
        <w:rPr>
          <w:rFonts w:ascii="Times New Roman" w:hAnsi="Times New Roman" w:cs="Times New Roman"/>
          <w:b/>
          <w:bCs/>
        </w:rPr>
        <w:t>lanning play a leadership role</w:t>
      </w:r>
      <w:r w:rsidR="004C5852" w:rsidRPr="004536AA">
        <w:rPr>
          <w:rFonts w:ascii="Times New Roman" w:hAnsi="Times New Roman" w:cs="Times New Roman"/>
          <w:b/>
          <w:bCs/>
        </w:rPr>
        <w:t xml:space="preserve">, in close collaboration with sectoral agencies. </w:t>
      </w:r>
      <w:r w:rsidRPr="004536AA">
        <w:rPr>
          <w:rFonts w:ascii="Times New Roman" w:hAnsi="Times New Roman" w:cs="Times New Roman"/>
          <w:b/>
          <w:bCs/>
        </w:rPr>
        <w:t xml:space="preserve"> </w:t>
      </w:r>
      <w:r w:rsidRPr="004536AA">
        <w:rPr>
          <w:rFonts w:ascii="Times New Roman" w:hAnsi="Times New Roman" w:cs="Times New Roman"/>
        </w:rPr>
        <w:t xml:space="preserve">Experience has shown that country leadership is most effective and efficient when exercised by the Ministry of Finance in tandem </w:t>
      </w:r>
      <w:r w:rsidR="008B4F5E" w:rsidRPr="004536AA">
        <w:rPr>
          <w:rFonts w:ascii="Times New Roman" w:hAnsi="Times New Roman" w:cs="Times New Roman"/>
        </w:rPr>
        <w:t xml:space="preserve">with the Ministry of Planning. Both Ministries </w:t>
      </w:r>
      <w:r w:rsidRPr="004536AA">
        <w:rPr>
          <w:rFonts w:ascii="Times New Roman" w:hAnsi="Times New Roman" w:cs="Times New Roman"/>
        </w:rPr>
        <w:t xml:space="preserve">are well placed to consider broad as well as sector-specific development strategies. The Ministries of Energy, Transport, and Environment typically </w:t>
      </w:r>
      <w:r w:rsidR="004C5852" w:rsidRPr="004536AA">
        <w:rPr>
          <w:rFonts w:ascii="Times New Roman" w:hAnsi="Times New Roman" w:cs="Times New Roman"/>
        </w:rPr>
        <w:t>propose specific projects.  They also</w:t>
      </w:r>
      <w:r w:rsidR="0062712A" w:rsidRPr="004536AA">
        <w:rPr>
          <w:rFonts w:ascii="Times New Roman" w:hAnsi="Times New Roman" w:cs="Times New Roman"/>
        </w:rPr>
        <w:t xml:space="preserve"> </w:t>
      </w:r>
      <w:r w:rsidRPr="004536AA">
        <w:rPr>
          <w:rFonts w:ascii="Times New Roman" w:hAnsi="Times New Roman" w:cs="Times New Roman"/>
        </w:rPr>
        <w:t>provide relevant sectoral and technical inform</w:t>
      </w:r>
      <w:r w:rsidR="008B4F5E" w:rsidRPr="004536AA">
        <w:rPr>
          <w:rFonts w:ascii="Times New Roman" w:hAnsi="Times New Roman" w:cs="Times New Roman"/>
        </w:rPr>
        <w:t xml:space="preserve">ation, including </w:t>
      </w:r>
      <w:r w:rsidRPr="004536AA">
        <w:rPr>
          <w:rFonts w:ascii="Times New Roman" w:hAnsi="Times New Roman" w:cs="Times New Roman"/>
        </w:rPr>
        <w:t>emission</w:t>
      </w:r>
      <w:r w:rsidR="008B4F5E" w:rsidRPr="004536AA">
        <w:rPr>
          <w:rFonts w:ascii="Times New Roman" w:hAnsi="Times New Roman" w:cs="Times New Roman"/>
        </w:rPr>
        <w:t>s</w:t>
      </w:r>
      <w:r w:rsidR="0062712A" w:rsidRPr="004536AA">
        <w:rPr>
          <w:rFonts w:ascii="Times New Roman" w:hAnsi="Times New Roman" w:cs="Times New Roman"/>
        </w:rPr>
        <w:t xml:space="preserve"> data and </w:t>
      </w:r>
      <w:r w:rsidRPr="004536AA">
        <w:rPr>
          <w:rFonts w:ascii="Times New Roman" w:hAnsi="Times New Roman" w:cs="Times New Roman"/>
        </w:rPr>
        <w:t>abatement scenario options</w:t>
      </w:r>
      <w:r w:rsidR="0062712A" w:rsidRPr="004536AA">
        <w:rPr>
          <w:rFonts w:ascii="Times New Roman" w:hAnsi="Times New Roman" w:cs="Times New Roman"/>
        </w:rPr>
        <w:t>.</w:t>
      </w:r>
    </w:p>
    <w:p w:rsidR="0051439A" w:rsidRPr="004536AA" w:rsidRDefault="0051439A" w:rsidP="00164C9C">
      <w:pPr>
        <w:ind w:left="360"/>
        <w:jc w:val="both"/>
        <w:rPr>
          <w:rFonts w:ascii="Times New Roman" w:hAnsi="Times New Roman" w:cs="Times New Roman"/>
        </w:rPr>
      </w:pPr>
    </w:p>
    <w:p w:rsidR="00E9701E" w:rsidRPr="004536AA" w:rsidRDefault="00E9701E" w:rsidP="00164C9C">
      <w:pPr>
        <w:pStyle w:val="ListParagraph"/>
        <w:numPr>
          <w:ilvl w:val="0"/>
          <w:numId w:val="15"/>
        </w:numPr>
        <w:ind w:left="0" w:firstLine="0"/>
        <w:jc w:val="both"/>
        <w:rPr>
          <w:rFonts w:ascii="Times New Roman" w:hAnsi="Times New Roman" w:cs="Times New Roman"/>
        </w:rPr>
      </w:pPr>
      <w:r w:rsidRPr="004536AA">
        <w:rPr>
          <w:rFonts w:ascii="Times New Roman" w:hAnsi="Times New Roman" w:cs="Times New Roman"/>
        </w:rPr>
        <w:t xml:space="preserve">In South Africa, the Departments of Treasury and the Environment assumed joint ownership of CTF activities, working closely with the national power utility to implement grid-connected renewable energy projects.  This collaboration strengthened the country’s investment plan and garnered solid support from the CTF Trust Fund Committee.  </w:t>
      </w:r>
    </w:p>
    <w:p w:rsidR="00E9701E" w:rsidRPr="004536AA" w:rsidRDefault="00E9701E" w:rsidP="00164C9C">
      <w:pPr>
        <w:pStyle w:val="ListParagraph"/>
        <w:jc w:val="both"/>
        <w:rPr>
          <w:rFonts w:ascii="Times New Roman" w:hAnsi="Times New Roman" w:cs="Times New Roman"/>
        </w:rPr>
      </w:pPr>
    </w:p>
    <w:p w:rsidR="00E9701E" w:rsidRPr="004536AA" w:rsidRDefault="00E9701E" w:rsidP="00164C9C">
      <w:pPr>
        <w:pStyle w:val="ListParagraph"/>
        <w:numPr>
          <w:ilvl w:val="0"/>
          <w:numId w:val="15"/>
        </w:numPr>
        <w:ind w:left="0" w:firstLine="0"/>
        <w:jc w:val="both"/>
        <w:rPr>
          <w:rFonts w:ascii="Times New Roman" w:hAnsi="Times New Roman" w:cs="Times New Roman"/>
        </w:rPr>
      </w:pPr>
      <w:r w:rsidRPr="004536AA">
        <w:rPr>
          <w:rFonts w:ascii="Times New Roman" w:hAnsi="Times New Roman" w:cs="Times New Roman"/>
        </w:rPr>
        <w:t>In Mexico, the Treasury led the CTF process, with strong involvement from the Ministries of Energy and Transport</w:t>
      </w:r>
      <w:r w:rsidR="00DE6073" w:rsidRPr="004536AA">
        <w:rPr>
          <w:rFonts w:ascii="Times New Roman" w:hAnsi="Times New Roman" w:cs="Times New Roman"/>
        </w:rPr>
        <w:t>.</w:t>
      </w:r>
      <w:r w:rsidRPr="004536AA">
        <w:rPr>
          <w:rFonts w:ascii="Times New Roman" w:hAnsi="Times New Roman" w:cs="Times New Roman"/>
        </w:rPr>
        <w:t xml:space="preserve"> T</w:t>
      </w:r>
      <w:r w:rsidR="00F33068" w:rsidRPr="004536AA">
        <w:rPr>
          <w:rFonts w:ascii="Times New Roman" w:hAnsi="Times New Roman" w:cs="Times New Roman"/>
        </w:rPr>
        <w:t>wo of the country’s leading state development banks will</w:t>
      </w:r>
      <w:r w:rsidRPr="004536AA">
        <w:rPr>
          <w:rFonts w:ascii="Times New Roman" w:hAnsi="Times New Roman" w:cs="Times New Roman"/>
        </w:rPr>
        <w:t xml:space="preserve"> impleme</w:t>
      </w:r>
      <w:r w:rsidR="00F33068" w:rsidRPr="004536AA">
        <w:rPr>
          <w:rFonts w:ascii="Times New Roman" w:hAnsi="Times New Roman" w:cs="Times New Roman"/>
        </w:rPr>
        <w:t>nt</w:t>
      </w:r>
      <w:r w:rsidRPr="004536AA">
        <w:rPr>
          <w:rFonts w:ascii="Times New Roman" w:hAnsi="Times New Roman" w:cs="Times New Roman"/>
        </w:rPr>
        <w:t xml:space="preserve"> </w:t>
      </w:r>
      <w:r w:rsidR="00B76FD9" w:rsidRPr="004536AA">
        <w:rPr>
          <w:rFonts w:ascii="Times New Roman" w:hAnsi="Times New Roman" w:cs="Times New Roman"/>
        </w:rPr>
        <w:t>and co-finance</w:t>
      </w:r>
      <w:r w:rsidR="00F33068" w:rsidRPr="004536AA">
        <w:rPr>
          <w:rFonts w:ascii="Times New Roman" w:hAnsi="Times New Roman" w:cs="Times New Roman"/>
        </w:rPr>
        <w:t xml:space="preserve"> part of the investment plan.  Their involvement will help build national capacity and is likely to encourage higher volumes of commercial lending for low carbon technologies in the future.</w:t>
      </w:r>
    </w:p>
    <w:p w:rsidR="00E9701E" w:rsidRPr="004536AA" w:rsidRDefault="00E9701E" w:rsidP="00164C9C">
      <w:pPr>
        <w:pStyle w:val="ListParagraph"/>
        <w:jc w:val="both"/>
        <w:rPr>
          <w:rFonts w:ascii="Times New Roman" w:hAnsi="Times New Roman" w:cs="Times New Roman"/>
        </w:rPr>
      </w:pPr>
    </w:p>
    <w:p w:rsidR="00EB7755" w:rsidRPr="004536AA" w:rsidRDefault="008B59A4" w:rsidP="00164C9C">
      <w:pPr>
        <w:pStyle w:val="ListParagraph"/>
        <w:numPr>
          <w:ilvl w:val="0"/>
          <w:numId w:val="15"/>
        </w:numPr>
        <w:ind w:left="0" w:firstLine="0"/>
        <w:jc w:val="both"/>
        <w:rPr>
          <w:rFonts w:ascii="Times New Roman" w:hAnsi="Times New Roman" w:cs="Times New Roman"/>
        </w:rPr>
      </w:pPr>
      <w:r w:rsidRPr="004536AA">
        <w:rPr>
          <w:rFonts w:ascii="Times New Roman" w:hAnsi="Times New Roman" w:cs="Times New Roman"/>
        </w:rPr>
        <w:t xml:space="preserve">In Turkey, the Treasury played a </w:t>
      </w:r>
      <w:r w:rsidR="00EB7755" w:rsidRPr="004536AA">
        <w:rPr>
          <w:rFonts w:ascii="Times New Roman" w:hAnsi="Times New Roman" w:cs="Times New Roman"/>
        </w:rPr>
        <w:t xml:space="preserve">leadership </w:t>
      </w:r>
      <w:r w:rsidRPr="004536AA">
        <w:rPr>
          <w:rFonts w:ascii="Times New Roman" w:hAnsi="Times New Roman" w:cs="Times New Roman"/>
        </w:rPr>
        <w:t>role by</w:t>
      </w:r>
      <w:r w:rsidR="008B4F5E" w:rsidRPr="004536AA">
        <w:rPr>
          <w:rFonts w:ascii="Times New Roman" w:hAnsi="Times New Roman" w:cs="Times New Roman"/>
        </w:rPr>
        <w:t xml:space="preserve"> addressing policy needs and</w:t>
      </w:r>
      <w:r w:rsidRPr="004536AA">
        <w:rPr>
          <w:rFonts w:ascii="Times New Roman" w:hAnsi="Times New Roman" w:cs="Times New Roman"/>
        </w:rPr>
        <w:t xml:space="preserve"> engag</w:t>
      </w:r>
      <w:r w:rsidR="008B4F5E" w:rsidRPr="004536AA">
        <w:rPr>
          <w:rFonts w:ascii="Times New Roman" w:hAnsi="Times New Roman" w:cs="Times New Roman"/>
        </w:rPr>
        <w:t>in</w:t>
      </w:r>
      <w:r w:rsidR="0062712A" w:rsidRPr="004536AA">
        <w:rPr>
          <w:rFonts w:ascii="Times New Roman" w:hAnsi="Times New Roman" w:cs="Times New Roman"/>
        </w:rPr>
        <w:t>g local stakeholders.  L</w:t>
      </w:r>
      <w:r w:rsidR="00AD1567" w:rsidRPr="004536AA">
        <w:rPr>
          <w:rFonts w:ascii="Times New Roman" w:hAnsi="Times New Roman" w:cs="Times New Roman"/>
        </w:rPr>
        <w:t xml:space="preserve">ocal </w:t>
      </w:r>
      <w:r w:rsidR="004D48CF" w:rsidRPr="004536AA">
        <w:rPr>
          <w:rFonts w:ascii="Times New Roman" w:hAnsi="Times New Roman" w:cs="Times New Roman"/>
        </w:rPr>
        <w:t xml:space="preserve">Turkish </w:t>
      </w:r>
      <w:r w:rsidR="00AD1567" w:rsidRPr="004536AA">
        <w:rPr>
          <w:rFonts w:ascii="Times New Roman" w:hAnsi="Times New Roman" w:cs="Times New Roman"/>
        </w:rPr>
        <w:t>banks participated in</w:t>
      </w:r>
      <w:r w:rsidRPr="004536AA">
        <w:rPr>
          <w:rFonts w:ascii="Times New Roman" w:hAnsi="Times New Roman" w:cs="Times New Roman"/>
        </w:rPr>
        <w:t xml:space="preserve"> fund</w:t>
      </w:r>
      <w:r w:rsidR="00AD1567" w:rsidRPr="004536AA">
        <w:rPr>
          <w:rFonts w:ascii="Times New Roman" w:hAnsi="Times New Roman" w:cs="Times New Roman"/>
        </w:rPr>
        <w:t>ing</w:t>
      </w:r>
      <w:r w:rsidRPr="004536AA">
        <w:rPr>
          <w:rFonts w:ascii="Times New Roman" w:hAnsi="Times New Roman" w:cs="Times New Roman"/>
        </w:rPr>
        <w:t xml:space="preserve"> </w:t>
      </w:r>
      <w:r w:rsidR="00EB7755" w:rsidRPr="004536AA">
        <w:rPr>
          <w:rFonts w:ascii="Times New Roman" w:hAnsi="Times New Roman" w:cs="Times New Roman"/>
        </w:rPr>
        <w:t>energy efficiency and rene</w:t>
      </w:r>
      <w:r w:rsidRPr="004536AA">
        <w:rPr>
          <w:rFonts w:ascii="Times New Roman" w:hAnsi="Times New Roman" w:cs="Times New Roman"/>
        </w:rPr>
        <w:t>wable energy lending programs</w:t>
      </w:r>
      <w:r w:rsidR="0062712A" w:rsidRPr="004536AA">
        <w:rPr>
          <w:rFonts w:ascii="Times New Roman" w:hAnsi="Times New Roman" w:cs="Times New Roman"/>
        </w:rPr>
        <w:t xml:space="preserve"> in collaboration with</w:t>
      </w:r>
      <w:r w:rsidR="008B4F5E" w:rsidRPr="004536AA">
        <w:rPr>
          <w:rFonts w:ascii="Times New Roman" w:hAnsi="Times New Roman" w:cs="Times New Roman"/>
        </w:rPr>
        <w:t xml:space="preserve"> the World Bank</w:t>
      </w:r>
      <w:r w:rsidR="007D0613" w:rsidRPr="004536AA">
        <w:rPr>
          <w:rFonts w:ascii="Times New Roman" w:hAnsi="Times New Roman" w:cs="Times New Roman"/>
        </w:rPr>
        <w:t xml:space="preserve"> Group</w:t>
      </w:r>
      <w:r w:rsidR="008B4F5E" w:rsidRPr="004536AA">
        <w:rPr>
          <w:rFonts w:ascii="Times New Roman" w:hAnsi="Times New Roman" w:cs="Times New Roman"/>
        </w:rPr>
        <w:t>, including IFC</w:t>
      </w:r>
      <w:r w:rsidRPr="004536AA">
        <w:rPr>
          <w:rFonts w:ascii="Times New Roman" w:hAnsi="Times New Roman" w:cs="Times New Roman"/>
        </w:rPr>
        <w:t xml:space="preserve">.  </w:t>
      </w:r>
      <w:r w:rsidR="00EB7755" w:rsidRPr="004536AA">
        <w:rPr>
          <w:rFonts w:ascii="Times New Roman" w:hAnsi="Times New Roman" w:cs="Times New Roman"/>
        </w:rPr>
        <w:t xml:space="preserve"> </w:t>
      </w:r>
    </w:p>
    <w:p w:rsidR="00E9701E" w:rsidRPr="004536AA" w:rsidRDefault="00E9701E" w:rsidP="00164C9C">
      <w:pPr>
        <w:pStyle w:val="ListParagraph"/>
        <w:jc w:val="both"/>
        <w:rPr>
          <w:rFonts w:ascii="Times New Roman" w:hAnsi="Times New Roman" w:cs="Times New Roman"/>
        </w:rPr>
      </w:pPr>
    </w:p>
    <w:p w:rsidR="00E9701E" w:rsidRPr="004536AA" w:rsidRDefault="00E9701E" w:rsidP="00164C9C">
      <w:pPr>
        <w:jc w:val="both"/>
        <w:rPr>
          <w:rFonts w:ascii="Times New Roman" w:hAnsi="Times New Roman" w:cs="Times New Roman"/>
        </w:rPr>
      </w:pPr>
    </w:p>
    <w:p w:rsidR="000B785E" w:rsidRPr="004536AA" w:rsidRDefault="000C4150" w:rsidP="00164C9C">
      <w:pPr>
        <w:pStyle w:val="ListParagraph"/>
        <w:numPr>
          <w:ilvl w:val="0"/>
          <w:numId w:val="15"/>
        </w:numPr>
        <w:ind w:left="0" w:firstLine="0"/>
        <w:jc w:val="both"/>
        <w:rPr>
          <w:rFonts w:ascii="Times New Roman" w:hAnsi="Times New Roman" w:cs="Times New Roman"/>
        </w:rPr>
      </w:pPr>
      <w:r w:rsidRPr="004536AA">
        <w:rPr>
          <w:rFonts w:ascii="Times New Roman" w:hAnsi="Times New Roman" w:cs="Times New Roman"/>
          <w:b/>
          <w:bCs/>
        </w:rPr>
        <w:t>Government commitments to CTF are enhanced when</w:t>
      </w:r>
      <w:r w:rsidR="00C75D4C" w:rsidRPr="004536AA">
        <w:rPr>
          <w:rFonts w:ascii="Times New Roman" w:hAnsi="Times New Roman" w:cs="Times New Roman"/>
          <w:b/>
          <w:bCs/>
        </w:rPr>
        <w:t xml:space="preserve"> investment plans </w:t>
      </w:r>
      <w:r w:rsidRPr="004536AA">
        <w:rPr>
          <w:rFonts w:ascii="Times New Roman" w:hAnsi="Times New Roman" w:cs="Times New Roman"/>
          <w:b/>
          <w:bCs/>
        </w:rPr>
        <w:t xml:space="preserve">are aligned with </w:t>
      </w:r>
      <w:r w:rsidR="004D48CF" w:rsidRPr="004536AA">
        <w:rPr>
          <w:rFonts w:ascii="Times New Roman" w:hAnsi="Times New Roman" w:cs="Times New Roman"/>
          <w:b/>
          <w:bCs/>
        </w:rPr>
        <w:t xml:space="preserve">broader </w:t>
      </w:r>
      <w:r w:rsidRPr="004536AA">
        <w:rPr>
          <w:rFonts w:ascii="Times New Roman" w:hAnsi="Times New Roman" w:cs="Times New Roman"/>
          <w:b/>
          <w:bCs/>
        </w:rPr>
        <w:t>national strategies</w:t>
      </w:r>
      <w:r w:rsidR="008B59A4" w:rsidRPr="004536AA">
        <w:rPr>
          <w:rFonts w:ascii="Times New Roman" w:hAnsi="Times New Roman" w:cs="Times New Roman"/>
          <w:b/>
          <w:bCs/>
        </w:rPr>
        <w:t>.</w:t>
      </w:r>
      <w:r w:rsidR="00EB7755" w:rsidRPr="004536AA">
        <w:rPr>
          <w:rFonts w:ascii="Times New Roman" w:hAnsi="Times New Roman" w:cs="Times New Roman"/>
          <w:b/>
          <w:bCs/>
        </w:rPr>
        <w:t xml:space="preserve"> </w:t>
      </w:r>
      <w:r w:rsidR="008B4F5E" w:rsidRPr="004536AA">
        <w:rPr>
          <w:rFonts w:ascii="Times New Roman" w:hAnsi="Times New Roman" w:cs="Times New Roman"/>
          <w:bCs/>
        </w:rPr>
        <w:t xml:space="preserve">Countries with low carbon growth plans or climate change </w:t>
      </w:r>
      <w:r w:rsidR="00DE6073" w:rsidRPr="004536AA">
        <w:rPr>
          <w:rFonts w:ascii="Times New Roman" w:hAnsi="Times New Roman" w:cs="Times New Roman"/>
          <w:bCs/>
        </w:rPr>
        <w:t>mitigation programs often have ongoing</w:t>
      </w:r>
      <w:r w:rsidR="008B4F5E" w:rsidRPr="004536AA">
        <w:rPr>
          <w:rFonts w:ascii="Times New Roman" w:hAnsi="Times New Roman" w:cs="Times New Roman"/>
          <w:bCs/>
        </w:rPr>
        <w:t xml:space="preserve"> clean energy</w:t>
      </w:r>
      <w:r w:rsidR="00EB7755" w:rsidRPr="004536AA">
        <w:rPr>
          <w:rFonts w:ascii="Times New Roman" w:hAnsi="Times New Roman" w:cs="Times New Roman"/>
          <w:b/>
          <w:bCs/>
        </w:rPr>
        <w:t xml:space="preserve"> </w:t>
      </w:r>
      <w:r w:rsidR="00DE6073" w:rsidRPr="004536AA">
        <w:rPr>
          <w:rFonts w:ascii="Times New Roman" w:hAnsi="Times New Roman" w:cs="Times New Roman"/>
          <w:bCs/>
        </w:rPr>
        <w:t>projects</w:t>
      </w:r>
      <w:r w:rsidR="008B4F5E" w:rsidRPr="004536AA">
        <w:rPr>
          <w:rFonts w:ascii="Times New Roman" w:hAnsi="Times New Roman" w:cs="Times New Roman"/>
          <w:bCs/>
        </w:rPr>
        <w:t>.</w:t>
      </w:r>
      <w:r w:rsidR="0039776C" w:rsidRPr="004536AA">
        <w:rPr>
          <w:rFonts w:ascii="Times New Roman" w:hAnsi="Times New Roman" w:cs="Times New Roman"/>
          <w:bCs/>
        </w:rPr>
        <w:t xml:space="preserve">  These</w:t>
      </w:r>
      <w:r w:rsidR="009C5B3F" w:rsidRPr="004536AA">
        <w:rPr>
          <w:rFonts w:ascii="Times New Roman" w:hAnsi="Times New Roman" w:cs="Times New Roman"/>
          <w:bCs/>
        </w:rPr>
        <w:t xml:space="preserve"> broader-focused national </w:t>
      </w:r>
      <w:r w:rsidR="008B4F5E" w:rsidRPr="004536AA">
        <w:rPr>
          <w:rFonts w:ascii="Times New Roman" w:hAnsi="Times New Roman" w:cs="Times New Roman"/>
          <w:bCs/>
        </w:rPr>
        <w:t xml:space="preserve">strategies provide the framework for introducing specific </w:t>
      </w:r>
      <w:r w:rsidR="009C5B3F" w:rsidRPr="004536AA">
        <w:rPr>
          <w:rFonts w:ascii="Times New Roman" w:hAnsi="Times New Roman" w:cs="Times New Roman"/>
          <w:bCs/>
        </w:rPr>
        <w:t xml:space="preserve">renewable energy, energy efficiency, and </w:t>
      </w:r>
      <w:r w:rsidR="001F1811" w:rsidRPr="004536AA">
        <w:rPr>
          <w:rFonts w:ascii="Times New Roman" w:hAnsi="Times New Roman" w:cs="Times New Roman"/>
          <w:bCs/>
        </w:rPr>
        <w:t xml:space="preserve">clean </w:t>
      </w:r>
      <w:r w:rsidR="009C5B3F" w:rsidRPr="004536AA">
        <w:rPr>
          <w:rFonts w:ascii="Times New Roman" w:hAnsi="Times New Roman" w:cs="Times New Roman"/>
          <w:bCs/>
        </w:rPr>
        <w:t xml:space="preserve">transport </w:t>
      </w:r>
      <w:r w:rsidR="008B4F5E" w:rsidRPr="004536AA">
        <w:rPr>
          <w:rFonts w:ascii="Times New Roman" w:hAnsi="Times New Roman" w:cs="Times New Roman"/>
          <w:bCs/>
        </w:rPr>
        <w:t xml:space="preserve">technologies. </w:t>
      </w:r>
      <w:r w:rsidR="00E9701E" w:rsidRPr="004536AA">
        <w:rPr>
          <w:rFonts w:ascii="Times New Roman" w:hAnsi="Times New Roman" w:cs="Times New Roman"/>
          <w:bCs/>
        </w:rPr>
        <w:t xml:space="preserve">Because Mexico’s investment plan builds on the strong, </w:t>
      </w:r>
      <w:r w:rsidR="00DE6073" w:rsidRPr="004536AA">
        <w:rPr>
          <w:rFonts w:ascii="Times New Roman" w:hAnsi="Times New Roman" w:cs="Times New Roman"/>
          <w:bCs/>
        </w:rPr>
        <w:t xml:space="preserve">analytical framework of its 2009 Climate Change </w:t>
      </w:r>
      <w:r w:rsidR="00DE6073" w:rsidRPr="004536AA">
        <w:rPr>
          <w:rFonts w:ascii="Times New Roman" w:hAnsi="Times New Roman" w:cs="Times New Roman"/>
          <w:bCs/>
        </w:rPr>
        <w:lastRenderedPageBreak/>
        <w:t>P</w:t>
      </w:r>
      <w:r w:rsidR="00E9701E" w:rsidRPr="004536AA">
        <w:rPr>
          <w:rFonts w:ascii="Times New Roman" w:hAnsi="Times New Roman" w:cs="Times New Roman"/>
          <w:bCs/>
        </w:rPr>
        <w:t>rogram, appropriate activities were identified quickly and have strong government support.</w:t>
      </w:r>
    </w:p>
    <w:p w:rsidR="000B785E" w:rsidRPr="004536AA" w:rsidRDefault="000B785E" w:rsidP="00164C9C">
      <w:pPr>
        <w:pStyle w:val="ListParagraph"/>
        <w:jc w:val="both"/>
        <w:rPr>
          <w:rFonts w:ascii="Times New Roman" w:hAnsi="Times New Roman" w:cs="Times New Roman"/>
        </w:rPr>
      </w:pPr>
    </w:p>
    <w:p w:rsidR="000B785E" w:rsidRPr="004536AA" w:rsidRDefault="000B785E" w:rsidP="00164C9C">
      <w:pPr>
        <w:pStyle w:val="ListParagraph"/>
        <w:jc w:val="both"/>
        <w:rPr>
          <w:rFonts w:ascii="Times New Roman" w:hAnsi="Times New Roman" w:cs="Times New Roman"/>
        </w:rPr>
      </w:pPr>
    </w:p>
    <w:p w:rsidR="00EB7755" w:rsidRPr="004536AA" w:rsidRDefault="00026D23" w:rsidP="00164C9C">
      <w:pPr>
        <w:pStyle w:val="ListParagraph"/>
        <w:numPr>
          <w:ilvl w:val="0"/>
          <w:numId w:val="15"/>
        </w:numPr>
        <w:ind w:left="0" w:firstLine="0"/>
        <w:jc w:val="both"/>
        <w:rPr>
          <w:rFonts w:ascii="Times New Roman" w:hAnsi="Times New Roman" w:cs="Times New Roman"/>
        </w:rPr>
      </w:pPr>
      <w:r w:rsidRPr="004536AA">
        <w:rPr>
          <w:rFonts w:ascii="Times New Roman" w:hAnsi="Times New Roman" w:cs="Times New Roman"/>
        </w:rPr>
        <w:t>In countries with less developed climate change strategies</w:t>
      </w:r>
      <w:r w:rsidR="00EB7755" w:rsidRPr="004536AA">
        <w:rPr>
          <w:rFonts w:ascii="Times New Roman" w:hAnsi="Times New Roman" w:cs="Times New Roman"/>
        </w:rPr>
        <w:t xml:space="preserve"> or where the domestic impacts of the financial crisis detract from the government’s ability to lead effectively, the </w:t>
      </w:r>
      <w:r w:rsidR="008B4F5E" w:rsidRPr="004536AA">
        <w:rPr>
          <w:rFonts w:ascii="Times New Roman" w:hAnsi="Times New Roman" w:cs="Times New Roman"/>
        </w:rPr>
        <w:t>MDBs play a more prominent role in the planning process.</w:t>
      </w:r>
      <w:r w:rsidR="004D48CF" w:rsidRPr="004536AA">
        <w:rPr>
          <w:rFonts w:ascii="Times New Roman" w:hAnsi="Times New Roman" w:cs="Times New Roman"/>
        </w:rPr>
        <w:t xml:space="preserve">  Overall</w:t>
      </w:r>
      <w:r w:rsidR="00EB7755" w:rsidRPr="004536AA">
        <w:rPr>
          <w:rFonts w:ascii="Times New Roman" w:hAnsi="Times New Roman" w:cs="Times New Roman"/>
        </w:rPr>
        <w:t xml:space="preserve">, the CTF’s vision </w:t>
      </w:r>
      <w:r w:rsidR="000B785E" w:rsidRPr="004536AA">
        <w:rPr>
          <w:rFonts w:ascii="Times New Roman" w:hAnsi="Times New Roman" w:cs="Times New Roman"/>
        </w:rPr>
        <w:t>that countries</w:t>
      </w:r>
      <w:r w:rsidR="008B4F5E" w:rsidRPr="004536AA">
        <w:rPr>
          <w:rFonts w:ascii="Times New Roman" w:hAnsi="Times New Roman" w:cs="Times New Roman"/>
        </w:rPr>
        <w:t xml:space="preserve"> will</w:t>
      </w:r>
      <w:r w:rsidR="00EB7755" w:rsidRPr="004536AA">
        <w:rPr>
          <w:rFonts w:ascii="Times New Roman" w:hAnsi="Times New Roman" w:cs="Times New Roman"/>
        </w:rPr>
        <w:t xml:space="preserve"> strategically lead the investment planning process is largely being realized.</w:t>
      </w:r>
    </w:p>
    <w:p w:rsidR="00EB7755" w:rsidRPr="004536AA" w:rsidRDefault="00EB7755" w:rsidP="00164C9C">
      <w:pPr>
        <w:ind w:left="720"/>
        <w:jc w:val="both"/>
        <w:rPr>
          <w:rFonts w:ascii="Times New Roman" w:hAnsi="Times New Roman" w:cs="Times New Roman"/>
        </w:rPr>
      </w:pPr>
    </w:p>
    <w:p w:rsidR="00EB7755" w:rsidRPr="004536AA" w:rsidRDefault="00EB7755" w:rsidP="00164C9C">
      <w:pPr>
        <w:jc w:val="both"/>
        <w:rPr>
          <w:rFonts w:ascii="Times New Roman" w:hAnsi="Times New Roman" w:cs="Times New Roman"/>
          <w:b/>
          <w:bCs/>
          <w:i/>
          <w:iCs/>
        </w:rPr>
      </w:pPr>
      <w:r w:rsidRPr="004536AA">
        <w:rPr>
          <w:rFonts w:ascii="Times New Roman" w:hAnsi="Times New Roman" w:cs="Times New Roman"/>
          <w:b/>
          <w:bCs/>
          <w:i/>
          <w:iCs/>
        </w:rPr>
        <w:t>Stakeholder Participation in Planning</w:t>
      </w:r>
    </w:p>
    <w:p w:rsidR="00170E3A" w:rsidRPr="004536AA" w:rsidRDefault="00170E3A" w:rsidP="00164C9C">
      <w:pPr>
        <w:jc w:val="both"/>
        <w:rPr>
          <w:rFonts w:ascii="Times New Roman" w:hAnsi="Times New Roman" w:cs="Times New Roman"/>
          <w:b/>
          <w:bCs/>
          <w:i/>
          <w:iCs/>
        </w:rPr>
      </w:pPr>
    </w:p>
    <w:p w:rsidR="00EB7755" w:rsidRPr="004536AA" w:rsidRDefault="00185174" w:rsidP="00164C9C">
      <w:pPr>
        <w:pStyle w:val="ListParagraph"/>
        <w:numPr>
          <w:ilvl w:val="0"/>
          <w:numId w:val="15"/>
        </w:numPr>
        <w:ind w:left="0" w:firstLine="0"/>
        <w:jc w:val="both"/>
        <w:rPr>
          <w:rFonts w:ascii="Times New Roman" w:hAnsi="Times New Roman" w:cs="Times New Roman"/>
        </w:rPr>
      </w:pPr>
      <w:r w:rsidRPr="004536AA">
        <w:rPr>
          <w:rFonts w:ascii="Times New Roman" w:hAnsi="Times New Roman" w:cs="Times New Roman"/>
          <w:b/>
          <w:bCs/>
        </w:rPr>
        <w:t>N</w:t>
      </w:r>
      <w:r w:rsidR="00EB7755" w:rsidRPr="004536AA">
        <w:rPr>
          <w:rFonts w:ascii="Times New Roman" w:hAnsi="Times New Roman" w:cs="Times New Roman"/>
          <w:b/>
          <w:bCs/>
        </w:rPr>
        <w:t xml:space="preserve">ational stakeholders, particularly technical experts and the private sector, </w:t>
      </w:r>
      <w:r w:rsidRPr="004536AA">
        <w:rPr>
          <w:rFonts w:ascii="Times New Roman" w:hAnsi="Times New Roman" w:cs="Times New Roman"/>
          <w:b/>
          <w:bCs/>
        </w:rPr>
        <w:t>can play a key role</w:t>
      </w:r>
      <w:r w:rsidR="00EB7755" w:rsidRPr="004536AA">
        <w:rPr>
          <w:rFonts w:ascii="Times New Roman" w:hAnsi="Times New Roman" w:cs="Times New Roman"/>
          <w:b/>
          <w:bCs/>
        </w:rPr>
        <w:t xml:space="preserve"> in the </w:t>
      </w:r>
      <w:r w:rsidRPr="004536AA">
        <w:rPr>
          <w:rFonts w:ascii="Times New Roman" w:hAnsi="Times New Roman" w:cs="Times New Roman"/>
          <w:b/>
          <w:bCs/>
        </w:rPr>
        <w:t xml:space="preserve">investment </w:t>
      </w:r>
      <w:r w:rsidR="00EB7755" w:rsidRPr="004536AA">
        <w:rPr>
          <w:rFonts w:ascii="Times New Roman" w:hAnsi="Times New Roman" w:cs="Times New Roman"/>
          <w:b/>
          <w:bCs/>
        </w:rPr>
        <w:t xml:space="preserve">planning process.  </w:t>
      </w:r>
      <w:r w:rsidR="008B4F5E" w:rsidRPr="004536AA">
        <w:rPr>
          <w:rFonts w:ascii="Times New Roman" w:hAnsi="Times New Roman" w:cs="Times New Roman"/>
        </w:rPr>
        <w:t xml:space="preserve">Rapid investment plan preparation </w:t>
      </w:r>
      <w:r w:rsidR="00EB7755" w:rsidRPr="004536AA">
        <w:rPr>
          <w:rFonts w:ascii="Times New Roman" w:hAnsi="Times New Roman" w:cs="Times New Roman"/>
        </w:rPr>
        <w:t xml:space="preserve">may enable the government to jump start project implementation and receive CTF funds quickly, </w:t>
      </w:r>
      <w:r w:rsidR="0029181B" w:rsidRPr="004536AA">
        <w:rPr>
          <w:rFonts w:ascii="Times New Roman" w:hAnsi="Times New Roman" w:cs="Times New Roman"/>
        </w:rPr>
        <w:t xml:space="preserve">but </w:t>
      </w:r>
      <w:r w:rsidR="001F1811" w:rsidRPr="004536AA">
        <w:rPr>
          <w:rFonts w:ascii="Times New Roman" w:hAnsi="Times New Roman" w:cs="Times New Roman"/>
        </w:rPr>
        <w:t>it also may lead to</w:t>
      </w:r>
      <w:r w:rsidR="00EB7755" w:rsidRPr="004536AA">
        <w:rPr>
          <w:rFonts w:ascii="Times New Roman" w:hAnsi="Times New Roman" w:cs="Times New Roman"/>
        </w:rPr>
        <w:t xml:space="preserve"> a </w:t>
      </w:r>
      <w:r w:rsidR="001F1811" w:rsidRPr="004536AA">
        <w:rPr>
          <w:rFonts w:ascii="Times New Roman" w:hAnsi="Times New Roman" w:cs="Times New Roman"/>
        </w:rPr>
        <w:t xml:space="preserve">greater </w:t>
      </w:r>
      <w:r w:rsidR="00EB7755" w:rsidRPr="004536AA">
        <w:rPr>
          <w:rFonts w:ascii="Times New Roman" w:hAnsi="Times New Roman" w:cs="Times New Roman"/>
        </w:rPr>
        <w:t>reliance on existing partnerships</w:t>
      </w:r>
      <w:r w:rsidR="0029181B" w:rsidRPr="004536AA">
        <w:rPr>
          <w:rFonts w:ascii="Times New Roman" w:hAnsi="Times New Roman" w:cs="Times New Roman"/>
        </w:rPr>
        <w:t xml:space="preserve">. </w:t>
      </w:r>
      <w:r w:rsidR="00AD1567" w:rsidRPr="004536AA">
        <w:rPr>
          <w:rFonts w:ascii="Times New Roman" w:hAnsi="Times New Roman" w:cs="Times New Roman"/>
        </w:rPr>
        <w:t>The</w:t>
      </w:r>
      <w:r w:rsidR="008B4F5E" w:rsidRPr="004536AA">
        <w:rPr>
          <w:rFonts w:ascii="Times New Roman" w:hAnsi="Times New Roman" w:cs="Times New Roman"/>
        </w:rPr>
        <w:t xml:space="preserve"> fast-track </w:t>
      </w:r>
      <w:r w:rsidR="00017354" w:rsidRPr="004536AA">
        <w:rPr>
          <w:rFonts w:ascii="Times New Roman" w:hAnsi="Times New Roman" w:cs="Times New Roman"/>
        </w:rPr>
        <w:t>approach that characterized several</w:t>
      </w:r>
      <w:r w:rsidR="008B4F5E" w:rsidRPr="004536AA">
        <w:rPr>
          <w:rFonts w:ascii="Times New Roman" w:hAnsi="Times New Roman" w:cs="Times New Roman"/>
        </w:rPr>
        <w:t xml:space="preserve"> </w:t>
      </w:r>
      <w:r w:rsidR="000B785E" w:rsidRPr="004536AA">
        <w:rPr>
          <w:rFonts w:ascii="Times New Roman" w:hAnsi="Times New Roman" w:cs="Times New Roman"/>
        </w:rPr>
        <w:t>of the earliest investment plans</w:t>
      </w:r>
      <w:r w:rsidR="00017354" w:rsidRPr="004536AA">
        <w:rPr>
          <w:rFonts w:ascii="Times New Roman" w:hAnsi="Times New Roman" w:cs="Times New Roman"/>
        </w:rPr>
        <w:t xml:space="preserve"> </w:t>
      </w:r>
      <w:r w:rsidR="008B4F5E" w:rsidRPr="004536AA">
        <w:rPr>
          <w:rFonts w:ascii="Times New Roman" w:hAnsi="Times New Roman" w:cs="Times New Roman"/>
        </w:rPr>
        <w:t xml:space="preserve">limited the opportunities </w:t>
      </w:r>
      <w:r w:rsidR="000B785E" w:rsidRPr="004536AA">
        <w:rPr>
          <w:rFonts w:ascii="Times New Roman" w:hAnsi="Times New Roman" w:cs="Times New Roman"/>
        </w:rPr>
        <w:t>for full stakeholder consultation</w:t>
      </w:r>
      <w:r w:rsidR="008B4F5E" w:rsidRPr="004536AA">
        <w:rPr>
          <w:rFonts w:ascii="Times New Roman" w:hAnsi="Times New Roman" w:cs="Times New Roman"/>
        </w:rPr>
        <w:t xml:space="preserve">.  </w:t>
      </w:r>
      <w:r w:rsidR="0029181B" w:rsidRPr="004536AA">
        <w:rPr>
          <w:rFonts w:ascii="Times New Roman" w:hAnsi="Times New Roman" w:cs="Times New Roman"/>
        </w:rPr>
        <w:t xml:space="preserve">In cases where even a few additional </w:t>
      </w:r>
      <w:r w:rsidR="00EB7755" w:rsidRPr="004536AA">
        <w:rPr>
          <w:rFonts w:ascii="Times New Roman" w:hAnsi="Times New Roman" w:cs="Times New Roman"/>
        </w:rPr>
        <w:t xml:space="preserve">months were available for investment planning, a broader group of development partners and national stakeholders were able to contribute.  </w:t>
      </w:r>
      <w:r w:rsidR="00DE6073" w:rsidRPr="004536AA">
        <w:rPr>
          <w:rFonts w:ascii="Times New Roman" w:hAnsi="Times New Roman" w:cs="Times New Roman"/>
        </w:rPr>
        <w:t>Full stakeholder consultation requires a</w:t>
      </w:r>
      <w:r w:rsidR="0029181B" w:rsidRPr="004536AA">
        <w:rPr>
          <w:rFonts w:ascii="Times New Roman" w:hAnsi="Times New Roman" w:cs="Times New Roman"/>
        </w:rPr>
        <w:t>ppropriate outreach and feedb</w:t>
      </w:r>
      <w:r w:rsidR="00017354" w:rsidRPr="004536AA">
        <w:rPr>
          <w:rFonts w:ascii="Times New Roman" w:hAnsi="Times New Roman" w:cs="Times New Roman"/>
        </w:rPr>
        <w:t>ack mechanisms.</w:t>
      </w:r>
      <w:r w:rsidR="0029181B" w:rsidRPr="004536AA">
        <w:rPr>
          <w:rFonts w:ascii="Times New Roman" w:hAnsi="Times New Roman" w:cs="Times New Roman"/>
        </w:rPr>
        <w:t xml:space="preserve"> </w:t>
      </w:r>
    </w:p>
    <w:p w:rsidR="008B4F5E" w:rsidRPr="004536AA" w:rsidRDefault="008B4F5E" w:rsidP="00164C9C">
      <w:pPr>
        <w:pStyle w:val="ListParagraph"/>
        <w:jc w:val="both"/>
        <w:rPr>
          <w:rFonts w:ascii="Times New Roman" w:hAnsi="Times New Roman" w:cs="Times New Roman"/>
        </w:rPr>
      </w:pPr>
    </w:p>
    <w:p w:rsidR="00017354" w:rsidRPr="004536AA" w:rsidRDefault="00017354" w:rsidP="00164C9C">
      <w:pPr>
        <w:pStyle w:val="ListParagraph"/>
        <w:numPr>
          <w:ilvl w:val="0"/>
          <w:numId w:val="15"/>
        </w:numPr>
        <w:ind w:left="0" w:firstLine="0"/>
        <w:jc w:val="both"/>
        <w:rPr>
          <w:rFonts w:ascii="Times New Roman" w:hAnsi="Times New Roman" w:cs="Times New Roman"/>
        </w:rPr>
      </w:pPr>
      <w:r w:rsidRPr="004536AA">
        <w:rPr>
          <w:rFonts w:ascii="Times New Roman" w:hAnsi="Times New Roman" w:cs="Times New Roman"/>
        </w:rPr>
        <w:t>Turkey</w:t>
      </w:r>
      <w:r w:rsidR="004D48CF" w:rsidRPr="004536AA">
        <w:rPr>
          <w:rFonts w:ascii="Times New Roman" w:hAnsi="Times New Roman" w:cs="Times New Roman"/>
        </w:rPr>
        <w:t xml:space="preserve"> </w:t>
      </w:r>
      <w:r w:rsidR="00001EDE" w:rsidRPr="004536AA">
        <w:rPr>
          <w:rFonts w:ascii="Times New Roman" w:hAnsi="Times New Roman" w:cs="Times New Roman"/>
        </w:rPr>
        <w:t>was able to</w:t>
      </w:r>
      <w:r w:rsidR="00EB7755" w:rsidRPr="004536AA">
        <w:rPr>
          <w:rFonts w:ascii="Times New Roman" w:hAnsi="Times New Roman" w:cs="Times New Roman"/>
        </w:rPr>
        <w:t xml:space="preserve"> complete</w:t>
      </w:r>
      <w:r w:rsidR="00001EDE" w:rsidRPr="004536AA">
        <w:rPr>
          <w:rFonts w:ascii="Times New Roman" w:hAnsi="Times New Roman" w:cs="Times New Roman"/>
        </w:rPr>
        <w:t xml:space="preserve"> </w:t>
      </w:r>
      <w:r w:rsidR="00EB7755" w:rsidRPr="004536AA">
        <w:rPr>
          <w:rFonts w:ascii="Times New Roman" w:hAnsi="Times New Roman" w:cs="Times New Roman"/>
        </w:rPr>
        <w:t>its</w:t>
      </w:r>
      <w:r w:rsidRPr="004536AA">
        <w:rPr>
          <w:rFonts w:ascii="Times New Roman" w:hAnsi="Times New Roman" w:cs="Times New Roman"/>
        </w:rPr>
        <w:t xml:space="preserve"> investment plan in two months because of a history of planning and interactions with development partners.</w:t>
      </w:r>
      <w:r w:rsidR="00001EDE" w:rsidRPr="004536AA">
        <w:rPr>
          <w:rFonts w:ascii="Times New Roman" w:hAnsi="Times New Roman" w:cs="Times New Roman"/>
        </w:rPr>
        <w:t xml:space="preserve">  </w:t>
      </w:r>
      <w:r w:rsidRPr="004536AA">
        <w:rPr>
          <w:rFonts w:ascii="Times New Roman" w:hAnsi="Times New Roman" w:cs="Times New Roman"/>
        </w:rPr>
        <w:t xml:space="preserve">The government </w:t>
      </w:r>
      <w:r w:rsidR="009D5EFE" w:rsidRPr="004536AA">
        <w:rPr>
          <w:rFonts w:ascii="Times New Roman" w:hAnsi="Times New Roman" w:cs="Times New Roman"/>
        </w:rPr>
        <w:t xml:space="preserve">used the planning process </w:t>
      </w:r>
      <w:r w:rsidR="001F1811" w:rsidRPr="004536AA">
        <w:rPr>
          <w:rFonts w:ascii="Times New Roman" w:hAnsi="Times New Roman" w:cs="Times New Roman"/>
        </w:rPr>
        <w:t>as an opportunity to expand</w:t>
      </w:r>
      <w:r w:rsidR="00064860" w:rsidRPr="004536AA">
        <w:rPr>
          <w:rFonts w:ascii="Times New Roman" w:hAnsi="Times New Roman" w:cs="Times New Roman"/>
        </w:rPr>
        <w:t xml:space="preserve"> engagement</w:t>
      </w:r>
      <w:r w:rsidR="001F1811" w:rsidRPr="004536AA">
        <w:rPr>
          <w:rFonts w:ascii="Times New Roman" w:hAnsi="Times New Roman" w:cs="Times New Roman"/>
        </w:rPr>
        <w:t>s</w:t>
      </w:r>
      <w:r w:rsidR="004D48CF" w:rsidRPr="004536AA">
        <w:rPr>
          <w:rFonts w:ascii="Times New Roman" w:hAnsi="Times New Roman" w:cs="Times New Roman"/>
        </w:rPr>
        <w:t xml:space="preserve"> </w:t>
      </w:r>
      <w:r w:rsidR="001F1811" w:rsidRPr="004536AA">
        <w:rPr>
          <w:rFonts w:ascii="Times New Roman" w:hAnsi="Times New Roman" w:cs="Times New Roman"/>
        </w:rPr>
        <w:t>with existing partner</w:t>
      </w:r>
      <w:r w:rsidR="004D48CF" w:rsidRPr="004536AA">
        <w:rPr>
          <w:rFonts w:ascii="Times New Roman" w:hAnsi="Times New Roman" w:cs="Times New Roman"/>
        </w:rPr>
        <w:t>s</w:t>
      </w:r>
      <w:r w:rsidR="0098575D" w:rsidRPr="004536AA">
        <w:rPr>
          <w:rFonts w:ascii="Times New Roman" w:hAnsi="Times New Roman" w:cs="Times New Roman"/>
        </w:rPr>
        <w:t>.</w:t>
      </w:r>
      <w:r w:rsidR="009D5EFE" w:rsidRPr="004536AA">
        <w:rPr>
          <w:rFonts w:ascii="Times New Roman" w:hAnsi="Times New Roman" w:cs="Times New Roman"/>
        </w:rPr>
        <w:t xml:space="preserve">  </w:t>
      </w:r>
      <w:r w:rsidR="007916E2" w:rsidRPr="004536AA">
        <w:rPr>
          <w:rFonts w:ascii="Times New Roman" w:hAnsi="Times New Roman" w:cs="Times New Roman"/>
        </w:rPr>
        <w:t xml:space="preserve">  </w:t>
      </w:r>
      <w:r w:rsidR="0098575D" w:rsidRPr="004536AA">
        <w:rPr>
          <w:rFonts w:ascii="Times New Roman" w:hAnsi="Times New Roman" w:cs="Times New Roman"/>
        </w:rPr>
        <w:t xml:space="preserve">The ongoing relationship between the government, private leasing companies, and state and privately-owned banks is continuing through </w:t>
      </w:r>
      <w:r w:rsidR="007916E2" w:rsidRPr="004536AA">
        <w:rPr>
          <w:rFonts w:ascii="Times New Roman" w:hAnsi="Times New Roman" w:cs="Times New Roman"/>
        </w:rPr>
        <w:t>EBRD</w:t>
      </w:r>
      <w:r w:rsidR="0098575D" w:rsidRPr="004536AA">
        <w:rPr>
          <w:rFonts w:ascii="Times New Roman" w:hAnsi="Times New Roman" w:cs="Times New Roman"/>
        </w:rPr>
        <w:t>’s</w:t>
      </w:r>
      <w:r w:rsidR="007916E2" w:rsidRPr="004536AA">
        <w:rPr>
          <w:rFonts w:ascii="Times New Roman" w:hAnsi="Times New Roman" w:cs="Times New Roman"/>
        </w:rPr>
        <w:t xml:space="preserve"> </w:t>
      </w:r>
      <w:r w:rsidR="00064860" w:rsidRPr="004536AA">
        <w:rPr>
          <w:rFonts w:ascii="Times New Roman" w:hAnsi="Times New Roman" w:cs="Times New Roman"/>
        </w:rPr>
        <w:t>establish</w:t>
      </w:r>
      <w:r w:rsidR="0098575D" w:rsidRPr="004536AA">
        <w:rPr>
          <w:rFonts w:ascii="Times New Roman" w:hAnsi="Times New Roman" w:cs="Times New Roman"/>
        </w:rPr>
        <w:t>ment of</w:t>
      </w:r>
      <w:r w:rsidR="007916E2" w:rsidRPr="004536AA">
        <w:rPr>
          <w:rFonts w:ascii="Times New Roman" w:hAnsi="Times New Roman" w:cs="Times New Roman"/>
        </w:rPr>
        <w:t xml:space="preserve"> </w:t>
      </w:r>
      <w:r w:rsidRPr="004536AA">
        <w:rPr>
          <w:rFonts w:ascii="Times New Roman" w:hAnsi="Times New Roman" w:cs="Times New Roman"/>
        </w:rPr>
        <w:t>t</w:t>
      </w:r>
      <w:r w:rsidR="00064860" w:rsidRPr="004536AA">
        <w:rPr>
          <w:rFonts w:ascii="Times New Roman" w:hAnsi="Times New Roman" w:cs="Times New Roman"/>
        </w:rPr>
        <w:t>he Turkish Sustainable Energy Financing Facility</w:t>
      </w:r>
      <w:r w:rsidR="0098575D" w:rsidRPr="004536AA">
        <w:rPr>
          <w:rFonts w:ascii="Times New Roman" w:hAnsi="Times New Roman" w:cs="Times New Roman"/>
        </w:rPr>
        <w:t>.</w:t>
      </w:r>
      <w:r w:rsidR="00064860" w:rsidRPr="004536AA">
        <w:rPr>
          <w:rFonts w:ascii="Times New Roman" w:hAnsi="Times New Roman" w:cs="Times New Roman"/>
        </w:rPr>
        <w:t xml:space="preserve"> </w:t>
      </w:r>
      <w:r w:rsidR="0098575D" w:rsidRPr="004536AA">
        <w:rPr>
          <w:rFonts w:ascii="Times New Roman" w:hAnsi="Times New Roman" w:cs="Times New Roman"/>
        </w:rPr>
        <w:t>The collaboration is providing up to</w:t>
      </w:r>
      <w:r w:rsidR="00724A33" w:rsidRPr="004536AA">
        <w:rPr>
          <w:rFonts w:ascii="Times New Roman" w:hAnsi="Times New Roman" w:cs="Times New Roman"/>
        </w:rPr>
        <w:t xml:space="preserve"> $560 million in financing f</w:t>
      </w:r>
      <w:r w:rsidR="009D5EFE" w:rsidRPr="004536AA">
        <w:rPr>
          <w:rFonts w:ascii="Times New Roman" w:hAnsi="Times New Roman" w:cs="Times New Roman"/>
        </w:rPr>
        <w:t>or renewable energy initiatives, independent of CTF funding.</w:t>
      </w:r>
      <w:r w:rsidR="00724A33" w:rsidRPr="004536AA">
        <w:rPr>
          <w:rFonts w:ascii="Times New Roman" w:hAnsi="Times New Roman" w:cs="Times New Roman"/>
        </w:rPr>
        <w:t xml:space="preserve"> </w:t>
      </w:r>
      <w:r w:rsidR="001C7C73" w:rsidRPr="004536AA">
        <w:rPr>
          <w:rFonts w:ascii="Times New Roman" w:hAnsi="Times New Roman" w:cs="Times New Roman"/>
        </w:rPr>
        <w:t xml:space="preserve"> </w:t>
      </w:r>
    </w:p>
    <w:p w:rsidR="00017354" w:rsidRPr="004536AA" w:rsidRDefault="00017354" w:rsidP="00164C9C">
      <w:pPr>
        <w:pStyle w:val="ListParagraph"/>
        <w:jc w:val="both"/>
        <w:rPr>
          <w:rFonts w:ascii="Times New Roman" w:hAnsi="Times New Roman" w:cs="Times New Roman"/>
        </w:rPr>
      </w:pPr>
    </w:p>
    <w:p w:rsidR="00EB7755" w:rsidRPr="004536AA" w:rsidRDefault="007916E2" w:rsidP="00164C9C">
      <w:pPr>
        <w:pStyle w:val="ListParagraph"/>
        <w:numPr>
          <w:ilvl w:val="0"/>
          <w:numId w:val="15"/>
        </w:numPr>
        <w:ind w:left="0" w:firstLine="0"/>
        <w:jc w:val="both"/>
        <w:rPr>
          <w:rFonts w:ascii="Times New Roman" w:hAnsi="Times New Roman" w:cs="Times New Roman"/>
        </w:rPr>
      </w:pPr>
      <w:r w:rsidRPr="004536AA">
        <w:rPr>
          <w:rFonts w:ascii="Times New Roman" w:hAnsi="Times New Roman" w:cs="Times New Roman"/>
        </w:rPr>
        <w:t xml:space="preserve">Similarly, the Thai </w:t>
      </w:r>
      <w:r w:rsidR="00EB7755" w:rsidRPr="004536AA">
        <w:rPr>
          <w:rFonts w:ascii="Times New Roman" w:hAnsi="Times New Roman" w:cs="Times New Roman"/>
        </w:rPr>
        <w:t xml:space="preserve">government encouraged Bangkok city leaders to become engaged in the </w:t>
      </w:r>
      <w:r w:rsidRPr="004536AA">
        <w:rPr>
          <w:rFonts w:ascii="Times New Roman" w:hAnsi="Times New Roman" w:cs="Times New Roman"/>
        </w:rPr>
        <w:t xml:space="preserve">investment </w:t>
      </w:r>
      <w:r w:rsidR="00EB7755" w:rsidRPr="004536AA">
        <w:rPr>
          <w:rFonts w:ascii="Times New Roman" w:hAnsi="Times New Roman" w:cs="Times New Roman"/>
        </w:rPr>
        <w:t>planning pro</w:t>
      </w:r>
      <w:r w:rsidRPr="004536AA">
        <w:rPr>
          <w:rFonts w:ascii="Times New Roman" w:hAnsi="Times New Roman" w:cs="Times New Roman"/>
        </w:rPr>
        <w:t>cess.  B</w:t>
      </w:r>
      <w:r w:rsidR="00B92893" w:rsidRPr="004536AA">
        <w:rPr>
          <w:rFonts w:ascii="Times New Roman" w:hAnsi="Times New Roman" w:cs="Times New Roman"/>
        </w:rPr>
        <w:t xml:space="preserve">ecause </w:t>
      </w:r>
      <w:r w:rsidRPr="004536AA">
        <w:rPr>
          <w:rFonts w:ascii="Times New Roman" w:hAnsi="Times New Roman" w:cs="Times New Roman"/>
        </w:rPr>
        <w:t xml:space="preserve">the </w:t>
      </w:r>
      <w:r w:rsidR="00724A33" w:rsidRPr="004536AA">
        <w:rPr>
          <w:rFonts w:ascii="Times New Roman" w:hAnsi="Times New Roman" w:cs="Times New Roman"/>
        </w:rPr>
        <w:t xml:space="preserve">pace of the </w:t>
      </w:r>
      <w:r w:rsidR="001C7C73" w:rsidRPr="004536AA">
        <w:rPr>
          <w:rFonts w:ascii="Times New Roman" w:hAnsi="Times New Roman" w:cs="Times New Roman"/>
        </w:rPr>
        <w:t>investment planning</w:t>
      </w:r>
      <w:r w:rsidRPr="004536AA">
        <w:rPr>
          <w:rFonts w:ascii="Times New Roman" w:hAnsi="Times New Roman" w:cs="Times New Roman"/>
        </w:rPr>
        <w:t xml:space="preserve"> process</w:t>
      </w:r>
      <w:r w:rsidR="001C7C73" w:rsidRPr="004536AA">
        <w:rPr>
          <w:rFonts w:ascii="Times New Roman" w:hAnsi="Times New Roman" w:cs="Times New Roman"/>
        </w:rPr>
        <w:t xml:space="preserve"> </w:t>
      </w:r>
      <w:r w:rsidR="00724A33" w:rsidRPr="004536AA">
        <w:rPr>
          <w:rFonts w:ascii="Times New Roman" w:hAnsi="Times New Roman" w:cs="Times New Roman"/>
        </w:rPr>
        <w:t xml:space="preserve">was </w:t>
      </w:r>
      <w:r w:rsidR="009D5EFE" w:rsidRPr="004536AA">
        <w:rPr>
          <w:rFonts w:ascii="Times New Roman" w:hAnsi="Times New Roman" w:cs="Times New Roman"/>
        </w:rPr>
        <w:t xml:space="preserve">relatively </w:t>
      </w:r>
      <w:r w:rsidR="00724A33" w:rsidRPr="004536AA">
        <w:rPr>
          <w:rFonts w:ascii="Times New Roman" w:hAnsi="Times New Roman" w:cs="Times New Roman"/>
        </w:rPr>
        <w:t>slower</w:t>
      </w:r>
      <w:r w:rsidR="00EB7755" w:rsidRPr="004536AA">
        <w:rPr>
          <w:rFonts w:ascii="Times New Roman" w:hAnsi="Times New Roman" w:cs="Times New Roman"/>
        </w:rPr>
        <w:t xml:space="preserve">, there was </w:t>
      </w:r>
      <w:r w:rsidR="00724A33" w:rsidRPr="004536AA">
        <w:rPr>
          <w:rFonts w:ascii="Times New Roman" w:hAnsi="Times New Roman" w:cs="Times New Roman"/>
        </w:rPr>
        <w:t xml:space="preserve">sufficient </w:t>
      </w:r>
      <w:r w:rsidR="00EB7755" w:rsidRPr="004536AA">
        <w:rPr>
          <w:rFonts w:ascii="Times New Roman" w:hAnsi="Times New Roman" w:cs="Times New Roman"/>
        </w:rPr>
        <w:t>time and opportunity to en</w:t>
      </w:r>
      <w:r w:rsidR="00B92893" w:rsidRPr="004536AA">
        <w:rPr>
          <w:rFonts w:ascii="Times New Roman" w:hAnsi="Times New Roman" w:cs="Times New Roman"/>
        </w:rPr>
        <w:t xml:space="preserve">able their </w:t>
      </w:r>
      <w:r w:rsidR="001C7C73" w:rsidRPr="004536AA">
        <w:rPr>
          <w:rFonts w:ascii="Times New Roman" w:hAnsi="Times New Roman" w:cs="Times New Roman"/>
        </w:rPr>
        <w:t>full participation.  Their engagement helped</w:t>
      </w:r>
      <w:r w:rsidR="00B92893" w:rsidRPr="004536AA">
        <w:rPr>
          <w:rFonts w:ascii="Times New Roman" w:hAnsi="Times New Roman" w:cs="Times New Roman"/>
        </w:rPr>
        <w:t xml:space="preserve"> focus the inv</w:t>
      </w:r>
      <w:r w:rsidRPr="004536AA">
        <w:rPr>
          <w:rFonts w:ascii="Times New Roman" w:hAnsi="Times New Roman" w:cs="Times New Roman"/>
        </w:rPr>
        <w:t>estment plan on reducing emissions in the urban area.  The city officials provided accur</w:t>
      </w:r>
      <w:r w:rsidR="000C4150" w:rsidRPr="004536AA">
        <w:rPr>
          <w:rFonts w:ascii="Times New Roman" w:hAnsi="Times New Roman" w:cs="Times New Roman"/>
        </w:rPr>
        <w:t>ate emissions baseline data that</w:t>
      </w:r>
      <w:r w:rsidRPr="004536AA">
        <w:rPr>
          <w:rFonts w:ascii="Times New Roman" w:hAnsi="Times New Roman" w:cs="Times New Roman"/>
        </w:rPr>
        <w:t xml:space="preserve"> can be used to measure progress in mitigating greenhouse gas.</w:t>
      </w:r>
    </w:p>
    <w:p w:rsidR="00EB7755" w:rsidRPr="004536AA" w:rsidRDefault="00EB7755" w:rsidP="00164C9C">
      <w:pPr>
        <w:ind w:left="720"/>
        <w:jc w:val="both"/>
        <w:rPr>
          <w:rFonts w:ascii="Times New Roman" w:hAnsi="Times New Roman" w:cs="Times New Roman"/>
        </w:rPr>
      </w:pPr>
    </w:p>
    <w:p w:rsidR="00EB7755" w:rsidRPr="004536AA" w:rsidRDefault="00EB7755" w:rsidP="00164C9C">
      <w:pPr>
        <w:jc w:val="both"/>
        <w:rPr>
          <w:rFonts w:ascii="Times New Roman" w:hAnsi="Times New Roman" w:cs="Times New Roman"/>
          <w:b/>
          <w:bCs/>
          <w:i/>
          <w:iCs/>
        </w:rPr>
      </w:pPr>
      <w:r w:rsidRPr="004536AA">
        <w:rPr>
          <w:rFonts w:ascii="Times New Roman" w:hAnsi="Times New Roman" w:cs="Times New Roman"/>
          <w:b/>
          <w:bCs/>
          <w:i/>
          <w:iCs/>
        </w:rPr>
        <w:t>Mai</w:t>
      </w:r>
      <w:r w:rsidR="007D0613" w:rsidRPr="004536AA">
        <w:rPr>
          <w:rFonts w:ascii="Times New Roman" w:hAnsi="Times New Roman" w:cs="Times New Roman"/>
          <w:b/>
          <w:bCs/>
          <w:i/>
          <w:iCs/>
        </w:rPr>
        <w:t xml:space="preserve">nstreaming </w:t>
      </w:r>
    </w:p>
    <w:p w:rsidR="000C4150" w:rsidRPr="004536AA" w:rsidRDefault="000C4150" w:rsidP="00164C9C">
      <w:pPr>
        <w:jc w:val="both"/>
        <w:rPr>
          <w:rFonts w:ascii="Times New Roman" w:hAnsi="Times New Roman" w:cs="Times New Roman"/>
          <w:b/>
          <w:bCs/>
          <w:i/>
          <w:iCs/>
        </w:rPr>
      </w:pPr>
    </w:p>
    <w:p w:rsidR="00EB7755" w:rsidRPr="004536AA" w:rsidRDefault="009D5EFE" w:rsidP="00164C9C">
      <w:pPr>
        <w:pStyle w:val="ListParagraph"/>
        <w:numPr>
          <w:ilvl w:val="0"/>
          <w:numId w:val="15"/>
        </w:numPr>
        <w:ind w:left="0" w:firstLine="0"/>
        <w:jc w:val="both"/>
        <w:rPr>
          <w:rFonts w:ascii="Times New Roman" w:hAnsi="Times New Roman" w:cs="Times New Roman"/>
        </w:rPr>
      </w:pPr>
      <w:r w:rsidRPr="004536AA">
        <w:rPr>
          <w:rFonts w:ascii="Times New Roman" w:hAnsi="Times New Roman" w:cs="Times New Roman"/>
          <w:b/>
          <w:bCs/>
        </w:rPr>
        <w:t>I</w:t>
      </w:r>
      <w:r w:rsidR="00EB7755" w:rsidRPr="004536AA">
        <w:rPr>
          <w:rFonts w:ascii="Times New Roman" w:hAnsi="Times New Roman" w:cs="Times New Roman"/>
          <w:b/>
          <w:bCs/>
        </w:rPr>
        <w:t>n</w:t>
      </w:r>
      <w:r w:rsidRPr="004536AA">
        <w:rPr>
          <w:rFonts w:ascii="Times New Roman" w:hAnsi="Times New Roman" w:cs="Times New Roman"/>
          <w:b/>
          <w:bCs/>
        </w:rPr>
        <w:t>vestment plans that support</w:t>
      </w:r>
      <w:r w:rsidR="00EB7755" w:rsidRPr="004536AA">
        <w:rPr>
          <w:rFonts w:ascii="Times New Roman" w:hAnsi="Times New Roman" w:cs="Times New Roman"/>
          <w:b/>
          <w:bCs/>
        </w:rPr>
        <w:t xml:space="preserve"> development goals can </w:t>
      </w:r>
      <w:r w:rsidR="00185174" w:rsidRPr="004536AA">
        <w:rPr>
          <w:rFonts w:ascii="Times New Roman" w:hAnsi="Times New Roman" w:cs="Times New Roman"/>
          <w:b/>
          <w:bCs/>
        </w:rPr>
        <w:t>focus diverse stakeholders</w:t>
      </w:r>
      <w:r w:rsidR="00EB7755" w:rsidRPr="004536AA">
        <w:rPr>
          <w:rFonts w:ascii="Times New Roman" w:hAnsi="Times New Roman" w:cs="Times New Roman"/>
          <w:b/>
          <w:bCs/>
        </w:rPr>
        <w:t xml:space="preserve"> on a common program of action.</w:t>
      </w:r>
      <w:r w:rsidR="00EB7755" w:rsidRPr="004536AA">
        <w:rPr>
          <w:rFonts w:ascii="Times New Roman" w:hAnsi="Times New Roman" w:cs="Times New Roman"/>
        </w:rPr>
        <w:t xml:space="preserve">  </w:t>
      </w:r>
      <w:r w:rsidR="00DE4E7C" w:rsidRPr="004536AA">
        <w:rPr>
          <w:rFonts w:ascii="Times New Roman" w:hAnsi="Times New Roman" w:cs="Times New Roman"/>
        </w:rPr>
        <w:t>When shorter-term initiatives support longer-t</w:t>
      </w:r>
      <w:r w:rsidR="006B648A" w:rsidRPr="004536AA">
        <w:rPr>
          <w:rFonts w:ascii="Times New Roman" w:hAnsi="Times New Roman" w:cs="Times New Roman"/>
        </w:rPr>
        <w:t>erm country strategies, sta</w:t>
      </w:r>
      <w:r w:rsidR="00DE4E7C" w:rsidRPr="004536AA">
        <w:rPr>
          <w:rFonts w:ascii="Times New Roman" w:hAnsi="Times New Roman" w:cs="Times New Roman"/>
        </w:rPr>
        <w:t>keholde</w:t>
      </w:r>
      <w:r w:rsidR="006B648A" w:rsidRPr="004536AA">
        <w:rPr>
          <w:rFonts w:ascii="Times New Roman" w:hAnsi="Times New Roman" w:cs="Times New Roman"/>
        </w:rPr>
        <w:t>rs are more likely to buy into speci</w:t>
      </w:r>
      <w:r w:rsidR="008B74B2" w:rsidRPr="004536AA">
        <w:rPr>
          <w:rFonts w:ascii="Times New Roman" w:hAnsi="Times New Roman" w:cs="Times New Roman"/>
        </w:rPr>
        <w:t xml:space="preserve">fic projects that further </w:t>
      </w:r>
      <w:r w:rsidR="000C4150" w:rsidRPr="004536AA">
        <w:rPr>
          <w:rFonts w:ascii="Times New Roman" w:hAnsi="Times New Roman" w:cs="Times New Roman"/>
        </w:rPr>
        <w:t>national</w:t>
      </w:r>
      <w:r w:rsidR="008B74B2" w:rsidRPr="004536AA">
        <w:rPr>
          <w:rFonts w:ascii="Times New Roman" w:hAnsi="Times New Roman" w:cs="Times New Roman"/>
        </w:rPr>
        <w:t xml:space="preserve"> priorities</w:t>
      </w:r>
      <w:r w:rsidR="006B648A" w:rsidRPr="004536AA">
        <w:rPr>
          <w:rFonts w:ascii="Times New Roman" w:hAnsi="Times New Roman" w:cs="Times New Roman"/>
        </w:rPr>
        <w:t xml:space="preserve">. </w:t>
      </w:r>
      <w:r w:rsidR="00EB7755" w:rsidRPr="004536AA">
        <w:rPr>
          <w:rFonts w:ascii="Times New Roman" w:hAnsi="Times New Roman" w:cs="Times New Roman"/>
        </w:rPr>
        <w:t xml:space="preserve">In Mexico, the government set a </w:t>
      </w:r>
      <w:r w:rsidRPr="004536AA">
        <w:rPr>
          <w:rFonts w:ascii="Times New Roman" w:hAnsi="Times New Roman" w:cs="Times New Roman"/>
        </w:rPr>
        <w:t xml:space="preserve">longer-term </w:t>
      </w:r>
      <w:r w:rsidR="00EB7755" w:rsidRPr="004536AA">
        <w:rPr>
          <w:rFonts w:ascii="Times New Roman" w:hAnsi="Times New Roman" w:cs="Times New Roman"/>
        </w:rPr>
        <w:t>goal of reduc</w:t>
      </w:r>
      <w:r w:rsidR="008B74B2" w:rsidRPr="004536AA">
        <w:rPr>
          <w:rFonts w:ascii="Times New Roman" w:hAnsi="Times New Roman" w:cs="Times New Roman"/>
        </w:rPr>
        <w:t xml:space="preserve">ing the carbon footprint of urban transportation </w:t>
      </w:r>
      <w:r w:rsidR="00EB7755" w:rsidRPr="004536AA">
        <w:rPr>
          <w:rFonts w:ascii="Times New Roman" w:hAnsi="Times New Roman" w:cs="Times New Roman"/>
        </w:rPr>
        <w:t>by 20 percent.  A fundame</w:t>
      </w:r>
      <w:r w:rsidR="007916E2" w:rsidRPr="004536AA">
        <w:rPr>
          <w:rFonts w:ascii="Times New Roman" w:hAnsi="Times New Roman" w:cs="Times New Roman"/>
        </w:rPr>
        <w:t>ntal part of this reduction is projected to</w:t>
      </w:r>
      <w:r w:rsidR="00EB7755" w:rsidRPr="004536AA">
        <w:rPr>
          <w:rFonts w:ascii="Times New Roman" w:hAnsi="Times New Roman" w:cs="Times New Roman"/>
        </w:rPr>
        <w:t xml:space="preserve"> come from the expansion of bus rapid transit systems.  CTF funding enabled the government to provide incentives for municipalities to develop </w:t>
      </w:r>
      <w:r w:rsidR="00EB7755" w:rsidRPr="004536AA">
        <w:rPr>
          <w:rFonts w:ascii="Times New Roman" w:hAnsi="Times New Roman" w:cs="Times New Roman"/>
        </w:rPr>
        <w:lastRenderedPageBreak/>
        <w:t>efficient and convenie</w:t>
      </w:r>
      <w:r w:rsidR="007916E2" w:rsidRPr="004536AA">
        <w:rPr>
          <w:rFonts w:ascii="Times New Roman" w:hAnsi="Times New Roman" w:cs="Times New Roman"/>
        </w:rPr>
        <w:t xml:space="preserve">nt urban transit systems that have lower emissions.  The new systems </w:t>
      </w:r>
      <w:r w:rsidR="00EB7755" w:rsidRPr="004536AA">
        <w:rPr>
          <w:rFonts w:ascii="Times New Roman" w:hAnsi="Times New Roman" w:cs="Times New Roman"/>
        </w:rPr>
        <w:t>will help facilitate a shift to lowe</w:t>
      </w:r>
      <w:r w:rsidR="006B648A" w:rsidRPr="004536AA">
        <w:rPr>
          <w:rFonts w:ascii="Times New Roman" w:hAnsi="Times New Roman" w:cs="Times New Roman"/>
        </w:rPr>
        <w:t xml:space="preserve">r carbon public transportation </w:t>
      </w:r>
      <w:r w:rsidR="00EB7755" w:rsidRPr="004536AA">
        <w:rPr>
          <w:rFonts w:ascii="Times New Roman" w:hAnsi="Times New Roman" w:cs="Times New Roman"/>
        </w:rPr>
        <w:t xml:space="preserve">and </w:t>
      </w:r>
      <w:r w:rsidR="006B648A" w:rsidRPr="004536AA">
        <w:rPr>
          <w:rFonts w:ascii="Times New Roman" w:hAnsi="Times New Roman" w:cs="Times New Roman"/>
        </w:rPr>
        <w:t xml:space="preserve">provide the poor with improved access to </w:t>
      </w:r>
      <w:r w:rsidR="00EB7755" w:rsidRPr="004536AA">
        <w:rPr>
          <w:rFonts w:ascii="Times New Roman" w:hAnsi="Times New Roman" w:cs="Times New Roman"/>
        </w:rPr>
        <w:t xml:space="preserve">economic centers.    </w:t>
      </w:r>
    </w:p>
    <w:p w:rsidR="000C4150" w:rsidRPr="004536AA" w:rsidRDefault="000C4150" w:rsidP="004536AA">
      <w:pPr>
        <w:rPr>
          <w:rFonts w:ascii="Times New Roman" w:hAnsi="Times New Roman" w:cs="Times New Roman"/>
        </w:rPr>
      </w:pPr>
    </w:p>
    <w:p w:rsidR="000C4150" w:rsidRPr="004536AA" w:rsidRDefault="000C4150" w:rsidP="00164C9C">
      <w:pPr>
        <w:pStyle w:val="ListParagraph"/>
        <w:numPr>
          <w:ilvl w:val="0"/>
          <w:numId w:val="15"/>
        </w:numPr>
        <w:ind w:left="0" w:firstLine="0"/>
        <w:jc w:val="both"/>
        <w:rPr>
          <w:rFonts w:ascii="Times New Roman" w:hAnsi="Times New Roman" w:cs="Times New Roman"/>
        </w:rPr>
      </w:pPr>
      <w:r w:rsidRPr="004536AA">
        <w:rPr>
          <w:rFonts w:ascii="Times New Roman" w:hAnsi="Times New Roman" w:cs="Times New Roman"/>
          <w:b/>
        </w:rPr>
        <w:t>Climate change mitigation can be accelerated when investment plans are mainstreamed into national low carbon development strategies.</w:t>
      </w:r>
      <w:r w:rsidRPr="004536AA">
        <w:rPr>
          <w:rFonts w:ascii="Times New Roman" w:hAnsi="Times New Roman" w:cs="Times New Roman"/>
        </w:rPr>
        <w:t xml:space="preserve"> Often, projects identified for possible CTF financing are derived from a country’s existing climate change strategy, special initiatives identified by the government for CTF funding, or—in some cases—from the MDBs’ pipelines. Those agreed strategies provide a menu of priority options and enable the quick development of a consensus-based investment plan.  Early indications are that this coordinated approach helps to accelerate and mainstream action to mitigate climate change while promoting development. </w:t>
      </w:r>
    </w:p>
    <w:p w:rsidR="000C4150" w:rsidRPr="004536AA" w:rsidRDefault="000C4150" w:rsidP="00164C9C">
      <w:pPr>
        <w:ind w:left="709"/>
        <w:jc w:val="both"/>
        <w:rPr>
          <w:rFonts w:ascii="Times New Roman" w:hAnsi="Times New Roman" w:cs="Times New Roman"/>
        </w:rPr>
      </w:pPr>
    </w:p>
    <w:p w:rsidR="000C4150" w:rsidRPr="004536AA" w:rsidRDefault="000C4150" w:rsidP="00164C9C">
      <w:pPr>
        <w:pStyle w:val="ListParagraph"/>
        <w:numPr>
          <w:ilvl w:val="0"/>
          <w:numId w:val="15"/>
        </w:numPr>
        <w:ind w:left="0" w:firstLine="0"/>
        <w:jc w:val="both"/>
        <w:rPr>
          <w:rFonts w:ascii="Times New Roman" w:hAnsi="Times New Roman" w:cs="Times New Roman"/>
        </w:rPr>
      </w:pPr>
      <w:r w:rsidRPr="004536AA">
        <w:rPr>
          <w:rFonts w:ascii="Times New Roman" w:hAnsi="Times New Roman" w:cs="Times New Roman"/>
        </w:rPr>
        <w:t>Government-MDB coordination also facilitates the effective use of CTF resources for project investments that support sector development strategies.  For example, Turkey and Mexico prepared their national low carbon development strategies just before preparing their CTF investment plans, which allowed the timely allocation of CTF resources.  In Turkey, in particular, this led to the mainstreaming of lending for energy efficiency within a number of public and private bank operations.</w:t>
      </w:r>
    </w:p>
    <w:p w:rsidR="000C4150" w:rsidRPr="004536AA" w:rsidRDefault="000C4150" w:rsidP="00164C9C">
      <w:pPr>
        <w:pStyle w:val="ListParagraph"/>
        <w:jc w:val="both"/>
        <w:rPr>
          <w:rFonts w:ascii="Times New Roman" w:hAnsi="Times New Roman" w:cs="Times New Roman"/>
        </w:rPr>
      </w:pPr>
    </w:p>
    <w:p w:rsidR="000C4150" w:rsidRPr="004536AA" w:rsidRDefault="000C4150" w:rsidP="00164C9C">
      <w:pPr>
        <w:pStyle w:val="ListParagraph"/>
        <w:numPr>
          <w:ilvl w:val="0"/>
          <w:numId w:val="15"/>
        </w:numPr>
        <w:ind w:left="0" w:firstLine="0"/>
        <w:jc w:val="both"/>
        <w:rPr>
          <w:rFonts w:ascii="Times New Roman" w:hAnsi="Times New Roman" w:cs="Times New Roman"/>
        </w:rPr>
      </w:pPr>
      <w:r w:rsidRPr="004536AA">
        <w:rPr>
          <w:rFonts w:ascii="Times New Roman" w:hAnsi="Times New Roman" w:cs="Times New Roman"/>
        </w:rPr>
        <w:t>Mainst</w:t>
      </w:r>
      <w:r w:rsidR="007D0613" w:rsidRPr="004536AA">
        <w:rPr>
          <w:rFonts w:ascii="Times New Roman" w:hAnsi="Times New Roman" w:cs="Times New Roman"/>
        </w:rPr>
        <w:t xml:space="preserve">reaming </w:t>
      </w:r>
      <w:r w:rsidRPr="004536AA">
        <w:rPr>
          <w:rFonts w:ascii="Times New Roman" w:hAnsi="Times New Roman" w:cs="Times New Roman"/>
        </w:rPr>
        <w:t>is also driven by pressure from private sector developers of innovative new technologies and financiers seeking to tap into the</w:t>
      </w:r>
      <w:r w:rsidR="007D0613" w:rsidRPr="004536AA">
        <w:rPr>
          <w:rFonts w:ascii="Times New Roman" w:hAnsi="Times New Roman" w:cs="Times New Roman"/>
        </w:rPr>
        <w:t xml:space="preserve"> upside potential of these emerging opportunities</w:t>
      </w:r>
      <w:r w:rsidRPr="004536AA">
        <w:rPr>
          <w:rFonts w:ascii="Times New Roman" w:hAnsi="Times New Roman" w:cs="Times New Roman"/>
        </w:rPr>
        <w:t xml:space="preserve">.  </w:t>
      </w:r>
    </w:p>
    <w:p w:rsidR="009F35FB" w:rsidRPr="004536AA" w:rsidRDefault="009F35FB" w:rsidP="00164C9C">
      <w:pPr>
        <w:pStyle w:val="ListParagraph"/>
        <w:jc w:val="both"/>
        <w:rPr>
          <w:rFonts w:ascii="Times New Roman" w:hAnsi="Times New Roman" w:cs="Times New Roman"/>
        </w:rPr>
      </w:pPr>
    </w:p>
    <w:p w:rsidR="009F35FB" w:rsidRPr="004536AA" w:rsidRDefault="009F35FB" w:rsidP="00164C9C">
      <w:pPr>
        <w:jc w:val="both"/>
        <w:rPr>
          <w:rFonts w:ascii="Times New Roman" w:hAnsi="Times New Roman" w:cs="Times New Roman"/>
          <w:b/>
          <w:bCs/>
          <w:i/>
          <w:iCs/>
        </w:rPr>
      </w:pPr>
      <w:r w:rsidRPr="004536AA">
        <w:rPr>
          <w:rFonts w:ascii="Times New Roman" w:hAnsi="Times New Roman" w:cs="Times New Roman"/>
          <w:b/>
          <w:bCs/>
          <w:i/>
          <w:iCs/>
        </w:rPr>
        <w:t>Technology Transfer</w:t>
      </w:r>
    </w:p>
    <w:p w:rsidR="009F35FB" w:rsidRPr="004536AA" w:rsidRDefault="009F35FB" w:rsidP="00164C9C">
      <w:pPr>
        <w:pStyle w:val="ListParagraph"/>
        <w:ind w:left="0"/>
        <w:jc w:val="both"/>
        <w:rPr>
          <w:rFonts w:ascii="Times New Roman" w:hAnsi="Times New Roman" w:cs="Times New Roman"/>
          <w:b/>
          <w:bCs/>
          <w:i/>
          <w:iCs/>
        </w:rPr>
      </w:pPr>
    </w:p>
    <w:p w:rsidR="00170E3A" w:rsidRPr="004536AA" w:rsidRDefault="009F35FB" w:rsidP="00164C9C">
      <w:pPr>
        <w:pStyle w:val="ListParagraph"/>
        <w:numPr>
          <w:ilvl w:val="0"/>
          <w:numId w:val="15"/>
        </w:numPr>
        <w:ind w:left="0" w:firstLine="0"/>
        <w:jc w:val="both"/>
        <w:rPr>
          <w:rFonts w:ascii="Times New Roman" w:hAnsi="Times New Roman" w:cs="Times New Roman"/>
          <w:b/>
          <w:bCs/>
        </w:rPr>
      </w:pPr>
      <w:r w:rsidRPr="004536AA">
        <w:rPr>
          <w:rFonts w:ascii="Times New Roman" w:hAnsi="Times New Roman" w:cs="Times New Roman"/>
          <w:b/>
          <w:bCs/>
        </w:rPr>
        <w:t xml:space="preserve">CTF funds support technology transfer as well as the scaling up of viable technology options that are already being deployed.  </w:t>
      </w:r>
      <w:r w:rsidRPr="004536AA">
        <w:rPr>
          <w:rFonts w:ascii="Times New Roman" w:hAnsi="Times New Roman" w:cs="Times New Roman"/>
        </w:rPr>
        <w:t xml:space="preserve">This flexibility </w:t>
      </w:r>
      <w:r w:rsidR="00DE6073" w:rsidRPr="004536AA">
        <w:rPr>
          <w:rFonts w:ascii="Times New Roman" w:hAnsi="Times New Roman" w:cs="Times New Roman"/>
        </w:rPr>
        <w:t>to introduce sophisticated new technologies or build on existing one</w:t>
      </w:r>
      <w:r w:rsidR="00221682" w:rsidRPr="004536AA">
        <w:rPr>
          <w:rFonts w:ascii="Times New Roman" w:hAnsi="Times New Roman" w:cs="Times New Roman"/>
        </w:rPr>
        <w:t>s</w:t>
      </w:r>
      <w:r w:rsidR="00DE6073" w:rsidRPr="004536AA">
        <w:rPr>
          <w:rFonts w:ascii="Times New Roman" w:hAnsi="Times New Roman" w:cs="Times New Roman"/>
        </w:rPr>
        <w:t xml:space="preserve"> </w:t>
      </w:r>
      <w:r w:rsidRPr="004536AA">
        <w:rPr>
          <w:rFonts w:ascii="Times New Roman" w:hAnsi="Times New Roman" w:cs="Times New Roman"/>
        </w:rPr>
        <w:t>highlights CTF’s ability to adapt to individual country and regional circumstances</w:t>
      </w:r>
      <w:r w:rsidR="00DE6073" w:rsidRPr="004536AA">
        <w:rPr>
          <w:rFonts w:ascii="Times New Roman" w:hAnsi="Times New Roman" w:cs="Times New Roman"/>
        </w:rPr>
        <w:t>.</w:t>
      </w:r>
      <w:r w:rsidRPr="004536AA">
        <w:rPr>
          <w:rFonts w:ascii="Times New Roman" w:hAnsi="Times New Roman" w:cs="Times New Roman"/>
        </w:rPr>
        <w:t xml:space="preserve"> </w:t>
      </w:r>
      <w:r w:rsidR="00221682" w:rsidRPr="004536AA">
        <w:rPr>
          <w:rFonts w:ascii="Times New Roman" w:hAnsi="Times New Roman" w:cs="Times New Roman"/>
        </w:rPr>
        <w:t xml:space="preserve">While facilitating </w:t>
      </w:r>
      <w:r w:rsidR="00DE6073" w:rsidRPr="004536AA">
        <w:rPr>
          <w:rFonts w:ascii="Times New Roman" w:hAnsi="Times New Roman" w:cs="Times New Roman"/>
        </w:rPr>
        <w:t xml:space="preserve">technology transfer remains a challenge and the mechanisms to encourage technology transfer are still being worked out, the CTF promotes the adoption of readily deployable technologies </w:t>
      </w:r>
      <w:r w:rsidRPr="004536AA">
        <w:rPr>
          <w:rFonts w:ascii="Times New Roman" w:hAnsi="Times New Roman" w:cs="Times New Roman"/>
        </w:rPr>
        <w:t xml:space="preserve">within the context of each partner country.  Investments in energy efficiency, for example, do not </w:t>
      </w:r>
      <w:r w:rsidR="00DE6073" w:rsidRPr="004536AA">
        <w:rPr>
          <w:rFonts w:ascii="Times New Roman" w:hAnsi="Times New Roman" w:cs="Times New Roman"/>
        </w:rPr>
        <w:t xml:space="preserve">always </w:t>
      </w:r>
      <w:r w:rsidRPr="004536AA">
        <w:rPr>
          <w:rFonts w:ascii="Times New Roman" w:hAnsi="Times New Roman" w:cs="Times New Roman"/>
        </w:rPr>
        <w:t>requir</w:t>
      </w:r>
      <w:r w:rsidR="00DE6073" w:rsidRPr="004536AA">
        <w:rPr>
          <w:rFonts w:ascii="Times New Roman" w:hAnsi="Times New Roman" w:cs="Times New Roman"/>
        </w:rPr>
        <w:t xml:space="preserve">e the transfer of new technologies.  </w:t>
      </w:r>
      <w:r w:rsidR="00A24186" w:rsidRPr="004536AA">
        <w:rPr>
          <w:rFonts w:ascii="Times New Roman" w:hAnsi="Times New Roman" w:cs="Times New Roman"/>
        </w:rPr>
        <w:t>Retrofitting</w:t>
      </w:r>
      <w:r w:rsidR="00DE6073" w:rsidRPr="004536AA">
        <w:rPr>
          <w:rFonts w:ascii="Times New Roman" w:hAnsi="Times New Roman" w:cs="Times New Roman"/>
        </w:rPr>
        <w:t xml:space="preserve"> a prod</w:t>
      </w:r>
      <w:r w:rsidR="00A24186" w:rsidRPr="004536AA">
        <w:rPr>
          <w:rFonts w:ascii="Times New Roman" w:hAnsi="Times New Roman" w:cs="Times New Roman"/>
        </w:rPr>
        <w:t>uction facility, developing creative business models, and providing technica</w:t>
      </w:r>
      <w:r w:rsidR="00221682" w:rsidRPr="004536AA">
        <w:rPr>
          <w:rFonts w:ascii="Times New Roman" w:hAnsi="Times New Roman" w:cs="Times New Roman"/>
        </w:rPr>
        <w:t>l assistance can also be used to</w:t>
      </w:r>
      <w:r w:rsidR="00A24186" w:rsidRPr="004536AA">
        <w:rPr>
          <w:rFonts w:ascii="Times New Roman" w:hAnsi="Times New Roman" w:cs="Times New Roman"/>
        </w:rPr>
        <w:t xml:space="preserve"> achieve low carbon growth.  </w:t>
      </w:r>
      <w:r w:rsidRPr="004536AA">
        <w:rPr>
          <w:rFonts w:ascii="Times New Roman" w:hAnsi="Times New Roman" w:cs="Times New Roman"/>
        </w:rPr>
        <w:t xml:space="preserve"> </w:t>
      </w:r>
    </w:p>
    <w:p w:rsidR="00DE6073" w:rsidRPr="004536AA" w:rsidRDefault="00DE6073" w:rsidP="00164C9C">
      <w:pPr>
        <w:pStyle w:val="ListParagraph"/>
        <w:jc w:val="both"/>
        <w:rPr>
          <w:rFonts w:ascii="Times New Roman" w:hAnsi="Times New Roman" w:cs="Times New Roman"/>
          <w:b/>
          <w:bCs/>
        </w:rPr>
      </w:pPr>
    </w:p>
    <w:p w:rsidR="00EB7755" w:rsidRPr="004536AA" w:rsidRDefault="00A91522" w:rsidP="00164C9C">
      <w:pPr>
        <w:pStyle w:val="ListParagraph"/>
        <w:numPr>
          <w:ilvl w:val="0"/>
          <w:numId w:val="15"/>
        </w:numPr>
        <w:ind w:left="0" w:firstLine="0"/>
        <w:jc w:val="both"/>
        <w:rPr>
          <w:rFonts w:ascii="Times New Roman" w:hAnsi="Times New Roman" w:cs="Times New Roman"/>
        </w:rPr>
      </w:pPr>
      <w:r w:rsidRPr="004536AA">
        <w:rPr>
          <w:rFonts w:ascii="Times New Roman" w:hAnsi="Times New Roman" w:cs="Times New Roman"/>
        </w:rPr>
        <w:t xml:space="preserve">In Indonesia, </w:t>
      </w:r>
      <w:r w:rsidR="009F35FB" w:rsidRPr="004536AA">
        <w:rPr>
          <w:rFonts w:ascii="Times New Roman" w:hAnsi="Times New Roman" w:cs="Times New Roman"/>
        </w:rPr>
        <w:t>the CTF is support</w:t>
      </w:r>
      <w:r w:rsidR="00680A04">
        <w:rPr>
          <w:rFonts w:ascii="Times New Roman" w:hAnsi="Times New Roman" w:cs="Times New Roman"/>
        </w:rPr>
        <w:t xml:space="preserve">ing </w:t>
      </w:r>
      <w:r w:rsidR="009F35FB" w:rsidRPr="004536AA">
        <w:rPr>
          <w:rFonts w:ascii="Times New Roman" w:hAnsi="Times New Roman" w:cs="Times New Roman"/>
        </w:rPr>
        <w:t xml:space="preserve">the development of geothermal power, a stable technology already widely used in the country.  The CTF funds </w:t>
      </w:r>
      <w:r w:rsidR="00A24186" w:rsidRPr="004536AA">
        <w:rPr>
          <w:rFonts w:ascii="Times New Roman" w:hAnsi="Times New Roman" w:cs="Times New Roman"/>
        </w:rPr>
        <w:t>will support the scaling up of</w:t>
      </w:r>
      <w:r w:rsidR="009F35FB" w:rsidRPr="004536AA">
        <w:rPr>
          <w:rFonts w:ascii="Times New Roman" w:hAnsi="Times New Roman" w:cs="Times New Roman"/>
        </w:rPr>
        <w:t xml:space="preserve"> national geoth</w:t>
      </w:r>
      <w:r w:rsidR="00A24186" w:rsidRPr="004536AA">
        <w:rPr>
          <w:rFonts w:ascii="Times New Roman" w:hAnsi="Times New Roman" w:cs="Times New Roman"/>
        </w:rPr>
        <w:t>erm</w:t>
      </w:r>
      <w:r w:rsidR="008B62B5" w:rsidRPr="004536AA">
        <w:rPr>
          <w:rFonts w:ascii="Times New Roman" w:hAnsi="Times New Roman" w:cs="Times New Roman"/>
        </w:rPr>
        <w:t>al power generation and nearly double</w:t>
      </w:r>
      <w:r w:rsidR="009F35FB" w:rsidRPr="004536AA">
        <w:rPr>
          <w:rFonts w:ascii="Times New Roman" w:hAnsi="Times New Roman" w:cs="Times New Roman"/>
        </w:rPr>
        <w:t xml:space="preserve"> </w:t>
      </w:r>
      <w:r w:rsidR="008B62B5" w:rsidRPr="004536AA">
        <w:rPr>
          <w:rFonts w:ascii="Times New Roman" w:hAnsi="Times New Roman" w:cs="Times New Roman"/>
        </w:rPr>
        <w:t xml:space="preserve">the currently installed capacity.  </w:t>
      </w:r>
      <w:r w:rsidR="009F35FB" w:rsidRPr="004536AA">
        <w:rPr>
          <w:rFonts w:ascii="Times New Roman" w:hAnsi="Times New Roman" w:cs="Times New Roman"/>
        </w:rPr>
        <w:t xml:space="preserve"> Other don</w:t>
      </w:r>
      <w:r w:rsidR="008B62B5" w:rsidRPr="004536AA">
        <w:rPr>
          <w:rFonts w:ascii="Times New Roman" w:hAnsi="Times New Roman" w:cs="Times New Roman"/>
        </w:rPr>
        <w:t xml:space="preserve">ors are expected to co-finance </w:t>
      </w:r>
      <w:r w:rsidR="008B74B2" w:rsidRPr="004536AA">
        <w:rPr>
          <w:rFonts w:ascii="Times New Roman" w:hAnsi="Times New Roman" w:cs="Times New Roman"/>
        </w:rPr>
        <w:t>additional</w:t>
      </w:r>
      <w:r w:rsidR="008B62B5" w:rsidRPr="004536AA">
        <w:rPr>
          <w:rFonts w:ascii="Times New Roman" w:hAnsi="Times New Roman" w:cs="Times New Roman"/>
        </w:rPr>
        <w:t xml:space="preserve"> geothermal projects. </w:t>
      </w:r>
      <w:r w:rsidR="008B74B2" w:rsidRPr="004536AA">
        <w:rPr>
          <w:rFonts w:ascii="Times New Roman" w:hAnsi="Times New Roman" w:cs="Times New Roman"/>
        </w:rPr>
        <w:t xml:space="preserve"> The CTF program could be used to facilitate the transfer of new technologies, such as the </w:t>
      </w:r>
      <w:r w:rsidR="009F35FB" w:rsidRPr="004536AA">
        <w:rPr>
          <w:rFonts w:ascii="Times New Roman" w:hAnsi="Times New Roman" w:cs="Times New Roman"/>
        </w:rPr>
        <w:t xml:space="preserve">more advanced geothermal well-testing techniques and equipment </w:t>
      </w:r>
      <w:r w:rsidR="008B74B2" w:rsidRPr="004536AA">
        <w:rPr>
          <w:rFonts w:ascii="Times New Roman" w:hAnsi="Times New Roman" w:cs="Times New Roman"/>
        </w:rPr>
        <w:t xml:space="preserve">being tested elsewhere, if they </w:t>
      </w:r>
      <w:r w:rsidR="009F35FB" w:rsidRPr="004536AA">
        <w:rPr>
          <w:rFonts w:ascii="Times New Roman" w:hAnsi="Times New Roman" w:cs="Times New Roman"/>
        </w:rPr>
        <w:t>are deemed appropr</w:t>
      </w:r>
      <w:r w:rsidR="008B74B2" w:rsidRPr="004536AA">
        <w:rPr>
          <w:rFonts w:ascii="Times New Roman" w:hAnsi="Times New Roman" w:cs="Times New Roman"/>
        </w:rPr>
        <w:t>iate for Indonesian conditions. However,</w:t>
      </w:r>
      <w:r w:rsidR="00A24186" w:rsidRPr="004536AA">
        <w:rPr>
          <w:rFonts w:ascii="Times New Roman" w:hAnsi="Times New Roman" w:cs="Times New Roman"/>
        </w:rPr>
        <w:t xml:space="preserve"> </w:t>
      </w:r>
      <w:r w:rsidRPr="004536AA">
        <w:rPr>
          <w:rFonts w:ascii="Times New Roman" w:hAnsi="Times New Roman" w:cs="Times New Roman"/>
        </w:rPr>
        <w:t xml:space="preserve">the </w:t>
      </w:r>
      <w:r w:rsidR="009D5EFE" w:rsidRPr="004536AA">
        <w:rPr>
          <w:rFonts w:ascii="Times New Roman" w:hAnsi="Times New Roman" w:cs="Times New Roman"/>
        </w:rPr>
        <w:t xml:space="preserve">specific </w:t>
      </w:r>
      <w:r w:rsidR="008B74B2" w:rsidRPr="004536AA">
        <w:rPr>
          <w:rFonts w:ascii="Times New Roman" w:hAnsi="Times New Roman" w:cs="Times New Roman"/>
        </w:rPr>
        <w:t>mechanism would have to</w:t>
      </w:r>
      <w:r w:rsidR="00A24186" w:rsidRPr="004536AA">
        <w:rPr>
          <w:rFonts w:ascii="Times New Roman" w:hAnsi="Times New Roman" w:cs="Times New Roman"/>
        </w:rPr>
        <w:t xml:space="preserve"> </w:t>
      </w:r>
      <w:r w:rsidR="008B74B2" w:rsidRPr="004536AA">
        <w:rPr>
          <w:rFonts w:ascii="Times New Roman" w:hAnsi="Times New Roman" w:cs="Times New Roman"/>
        </w:rPr>
        <w:t>be</w:t>
      </w:r>
      <w:r w:rsidRPr="004536AA">
        <w:rPr>
          <w:rFonts w:ascii="Times New Roman" w:hAnsi="Times New Roman" w:cs="Times New Roman"/>
        </w:rPr>
        <w:t xml:space="preserve"> determined.</w:t>
      </w:r>
    </w:p>
    <w:p w:rsidR="00E9701E" w:rsidRPr="004536AA" w:rsidRDefault="00E9701E" w:rsidP="004536AA">
      <w:pPr>
        <w:pStyle w:val="ListParagraph"/>
        <w:rPr>
          <w:rFonts w:ascii="Times New Roman" w:hAnsi="Times New Roman" w:cs="Times New Roman"/>
        </w:rPr>
      </w:pPr>
    </w:p>
    <w:p w:rsidR="00E9701E" w:rsidRPr="004536AA" w:rsidRDefault="00E9701E" w:rsidP="00164C9C">
      <w:pPr>
        <w:pStyle w:val="ListParagraph"/>
        <w:numPr>
          <w:ilvl w:val="0"/>
          <w:numId w:val="15"/>
        </w:numPr>
        <w:ind w:left="0" w:firstLine="0"/>
        <w:jc w:val="both"/>
        <w:rPr>
          <w:rFonts w:ascii="Times New Roman" w:hAnsi="Times New Roman" w:cs="Times New Roman"/>
        </w:rPr>
      </w:pPr>
      <w:r w:rsidRPr="004536AA">
        <w:rPr>
          <w:rFonts w:ascii="Times New Roman" w:hAnsi="Times New Roman" w:cs="Times New Roman"/>
        </w:rPr>
        <w:lastRenderedPageBreak/>
        <w:t>In Mexico, the CTF is catalyzing the adoption of more energy efficient household appliances.  Mexican appliance manufacturers have already begun producing more efficient models in response to increased consumer demand resulting from the CTF-funded energy efficiency program.</w:t>
      </w:r>
    </w:p>
    <w:p w:rsidR="00A91522" w:rsidRPr="004536AA" w:rsidRDefault="00A91522" w:rsidP="00164C9C">
      <w:pPr>
        <w:pStyle w:val="ListParagraph"/>
        <w:jc w:val="both"/>
        <w:rPr>
          <w:rFonts w:ascii="Times New Roman" w:hAnsi="Times New Roman" w:cs="Times New Roman"/>
        </w:rPr>
      </w:pPr>
    </w:p>
    <w:p w:rsidR="00A91522" w:rsidRPr="004536AA" w:rsidRDefault="00A91522" w:rsidP="00164C9C">
      <w:pPr>
        <w:pStyle w:val="ListParagraph"/>
        <w:numPr>
          <w:ilvl w:val="0"/>
          <w:numId w:val="15"/>
        </w:numPr>
        <w:ind w:left="0" w:firstLine="0"/>
        <w:jc w:val="both"/>
        <w:rPr>
          <w:rFonts w:ascii="Times New Roman" w:hAnsi="Times New Roman" w:cs="Times New Roman"/>
          <w:b/>
          <w:bCs/>
        </w:rPr>
      </w:pPr>
      <w:r w:rsidRPr="004536AA">
        <w:rPr>
          <w:rFonts w:ascii="Times New Roman" w:hAnsi="Times New Roman" w:cs="Times New Roman"/>
        </w:rPr>
        <w:t xml:space="preserve">The CTF investment in the </w:t>
      </w:r>
      <w:r w:rsidR="008B62B5" w:rsidRPr="004536AA">
        <w:rPr>
          <w:rFonts w:ascii="Times New Roman" w:hAnsi="Times New Roman" w:cs="Times New Roman"/>
        </w:rPr>
        <w:t>Middle East and North Africa (</w:t>
      </w:r>
      <w:r w:rsidRPr="004536AA">
        <w:rPr>
          <w:rFonts w:ascii="Times New Roman" w:hAnsi="Times New Roman" w:cs="Times New Roman"/>
        </w:rPr>
        <w:t>MENA</w:t>
      </w:r>
      <w:r w:rsidR="008B62B5" w:rsidRPr="004536AA">
        <w:rPr>
          <w:rFonts w:ascii="Times New Roman" w:hAnsi="Times New Roman" w:cs="Times New Roman"/>
        </w:rPr>
        <w:t>)</w:t>
      </w:r>
      <w:r w:rsidRPr="004536AA">
        <w:rPr>
          <w:rFonts w:ascii="Times New Roman" w:hAnsi="Times New Roman" w:cs="Times New Roman"/>
        </w:rPr>
        <w:t xml:space="preserve"> region</w:t>
      </w:r>
      <w:r w:rsidR="008B74B2" w:rsidRPr="004536AA">
        <w:rPr>
          <w:rStyle w:val="FootnoteReference"/>
          <w:rFonts w:ascii="Times New Roman" w:hAnsi="Times New Roman" w:cs="Times New Roman"/>
        </w:rPr>
        <w:footnoteReference w:id="4"/>
      </w:r>
      <w:r w:rsidRPr="004536AA">
        <w:rPr>
          <w:rFonts w:ascii="Times New Roman" w:hAnsi="Times New Roman" w:cs="Times New Roman"/>
        </w:rPr>
        <w:t xml:space="preserve"> and South Africa su</w:t>
      </w:r>
      <w:r w:rsidR="008B62B5" w:rsidRPr="004536AA">
        <w:rPr>
          <w:rFonts w:ascii="Times New Roman" w:hAnsi="Times New Roman" w:cs="Times New Roman"/>
        </w:rPr>
        <w:t xml:space="preserve">pports concentrated solar power (CSP), </w:t>
      </w:r>
      <w:r w:rsidRPr="004536AA">
        <w:rPr>
          <w:rFonts w:ascii="Times New Roman" w:hAnsi="Times New Roman" w:cs="Times New Roman"/>
        </w:rPr>
        <w:t xml:space="preserve">which has higher costs and risks than current energy options.  The investments will help mitigate some of the initial risks by buying down costs and off-setting risks, thus encouraging domestic innovation and facilitating the transfer of CSP technology.  When implemented, the </w:t>
      </w:r>
      <w:r w:rsidR="00A24186" w:rsidRPr="004536AA">
        <w:rPr>
          <w:rFonts w:ascii="Times New Roman" w:hAnsi="Times New Roman" w:cs="Times New Roman"/>
        </w:rPr>
        <w:t xml:space="preserve">investment plans for the </w:t>
      </w:r>
      <w:r w:rsidRPr="004536AA">
        <w:rPr>
          <w:rFonts w:ascii="Times New Roman" w:hAnsi="Times New Roman" w:cs="Times New Roman"/>
        </w:rPr>
        <w:t>MENA region</w:t>
      </w:r>
      <w:r w:rsidR="00A24186" w:rsidRPr="004536AA">
        <w:rPr>
          <w:rFonts w:ascii="Times New Roman" w:hAnsi="Times New Roman" w:cs="Times New Roman"/>
        </w:rPr>
        <w:t xml:space="preserve"> and South Africa</w:t>
      </w:r>
      <w:r w:rsidRPr="004536AA">
        <w:rPr>
          <w:rFonts w:ascii="Times New Roman" w:hAnsi="Times New Roman" w:cs="Times New Roman"/>
        </w:rPr>
        <w:t xml:space="preserve"> are expected to increase energy security, strengthen regional and sub-regional integration, and promote industrial growth and diversification.</w:t>
      </w:r>
    </w:p>
    <w:p w:rsidR="009F35FB" w:rsidRPr="004536AA" w:rsidRDefault="009F35FB" w:rsidP="00164C9C">
      <w:pPr>
        <w:jc w:val="both"/>
        <w:rPr>
          <w:rFonts w:ascii="Times New Roman" w:hAnsi="Times New Roman" w:cs="Times New Roman"/>
          <w:b/>
          <w:bCs/>
          <w:i/>
          <w:iCs/>
        </w:rPr>
      </w:pPr>
    </w:p>
    <w:p w:rsidR="00EB7755" w:rsidRPr="004536AA" w:rsidRDefault="00EB7755" w:rsidP="00164C9C">
      <w:pPr>
        <w:jc w:val="both"/>
        <w:rPr>
          <w:rFonts w:ascii="Times New Roman" w:hAnsi="Times New Roman" w:cs="Times New Roman"/>
          <w:b/>
          <w:bCs/>
          <w:i/>
          <w:iCs/>
        </w:rPr>
      </w:pPr>
      <w:r w:rsidRPr="004536AA">
        <w:rPr>
          <w:rFonts w:ascii="Times New Roman" w:hAnsi="Times New Roman" w:cs="Times New Roman"/>
          <w:b/>
          <w:bCs/>
          <w:i/>
          <w:iCs/>
        </w:rPr>
        <w:t>Transforming low carbon markets</w:t>
      </w:r>
      <w:r w:rsidRPr="004536AA">
        <w:rPr>
          <w:rFonts w:ascii="Times New Roman" w:hAnsi="Times New Roman" w:cs="Times New Roman"/>
          <w:b/>
          <w:bCs/>
          <w:i/>
          <w:iCs/>
        </w:rPr>
        <w:tab/>
      </w:r>
    </w:p>
    <w:p w:rsidR="00EB7755" w:rsidRPr="004536AA" w:rsidRDefault="00EB7755" w:rsidP="00164C9C">
      <w:pPr>
        <w:jc w:val="both"/>
        <w:rPr>
          <w:rFonts w:ascii="Times New Roman" w:hAnsi="Times New Roman" w:cs="Times New Roman"/>
          <w:b/>
          <w:bCs/>
          <w:i/>
          <w:iCs/>
        </w:rPr>
      </w:pPr>
    </w:p>
    <w:p w:rsidR="00F55F2E" w:rsidRPr="001B2808" w:rsidRDefault="00EB7755" w:rsidP="00164C9C">
      <w:pPr>
        <w:pStyle w:val="ListParagraph"/>
        <w:numPr>
          <w:ilvl w:val="0"/>
          <w:numId w:val="15"/>
        </w:numPr>
        <w:ind w:left="0" w:firstLine="0"/>
        <w:jc w:val="both"/>
        <w:rPr>
          <w:rFonts w:ascii="Times New Roman" w:hAnsi="Times New Roman" w:cs="Times New Roman"/>
          <w:b/>
          <w:bCs/>
        </w:rPr>
      </w:pPr>
      <w:r w:rsidRPr="004536AA">
        <w:rPr>
          <w:rFonts w:ascii="Times New Roman" w:hAnsi="Times New Roman" w:cs="Times New Roman"/>
          <w:b/>
          <w:bCs/>
        </w:rPr>
        <w:t>An inves</w:t>
      </w:r>
      <w:r w:rsidR="00A91522" w:rsidRPr="004536AA">
        <w:rPr>
          <w:rFonts w:ascii="Times New Roman" w:hAnsi="Times New Roman" w:cs="Times New Roman"/>
          <w:b/>
          <w:bCs/>
        </w:rPr>
        <w:t xml:space="preserve">tment plan is more robust if </w:t>
      </w:r>
      <w:r w:rsidRPr="004536AA">
        <w:rPr>
          <w:rFonts w:ascii="Times New Roman" w:hAnsi="Times New Roman" w:cs="Times New Roman"/>
          <w:b/>
          <w:bCs/>
        </w:rPr>
        <w:t>it defines the specific transformation</w:t>
      </w:r>
      <w:r w:rsidR="00A91522" w:rsidRPr="004536AA">
        <w:rPr>
          <w:rFonts w:ascii="Times New Roman" w:hAnsi="Times New Roman" w:cs="Times New Roman"/>
          <w:b/>
          <w:bCs/>
        </w:rPr>
        <w:t xml:space="preserve">al changes that will be </w:t>
      </w:r>
      <w:r w:rsidR="006B648A" w:rsidRPr="004536AA">
        <w:rPr>
          <w:rFonts w:ascii="Times New Roman" w:hAnsi="Times New Roman" w:cs="Times New Roman"/>
          <w:b/>
          <w:bCs/>
        </w:rPr>
        <w:t>achieve</w:t>
      </w:r>
      <w:r w:rsidR="00A91522" w:rsidRPr="004536AA">
        <w:rPr>
          <w:rFonts w:ascii="Times New Roman" w:hAnsi="Times New Roman" w:cs="Times New Roman"/>
          <w:b/>
          <w:bCs/>
        </w:rPr>
        <w:t>d.</w:t>
      </w:r>
      <w:r w:rsidR="006B648A" w:rsidRPr="004536AA">
        <w:rPr>
          <w:rFonts w:ascii="Times New Roman" w:hAnsi="Times New Roman" w:cs="Times New Roman"/>
          <w:b/>
          <w:bCs/>
        </w:rPr>
        <w:t xml:space="preserve">  </w:t>
      </w:r>
      <w:r w:rsidRPr="004536AA">
        <w:rPr>
          <w:rFonts w:ascii="Times New Roman" w:hAnsi="Times New Roman" w:cs="Times New Roman"/>
        </w:rPr>
        <w:t xml:space="preserve">One of the CTF’s most important investment criteria is </w:t>
      </w:r>
      <w:r w:rsidR="00177094" w:rsidRPr="004536AA">
        <w:rPr>
          <w:rFonts w:ascii="Times New Roman" w:hAnsi="Times New Roman" w:cs="Times New Roman"/>
        </w:rPr>
        <w:t xml:space="preserve">a program’s </w:t>
      </w:r>
      <w:r w:rsidRPr="004536AA">
        <w:rPr>
          <w:rFonts w:ascii="Times New Roman" w:hAnsi="Times New Roman" w:cs="Times New Roman"/>
        </w:rPr>
        <w:t>“demonstration potential at scale</w:t>
      </w:r>
      <w:r w:rsidR="00177094" w:rsidRPr="004536AA">
        <w:rPr>
          <w:rStyle w:val="FootnoteReference"/>
          <w:rFonts w:ascii="Times New Roman" w:hAnsi="Times New Roman" w:cs="Times New Roman"/>
        </w:rPr>
        <w:footnoteReference w:id="5"/>
      </w:r>
      <w:r w:rsidR="00177094" w:rsidRPr="004536AA">
        <w:rPr>
          <w:rFonts w:ascii="Times New Roman" w:hAnsi="Times New Roman" w:cs="Times New Roman"/>
        </w:rPr>
        <w:t>”—i</w:t>
      </w:r>
      <w:r w:rsidR="00C31765" w:rsidRPr="004536AA">
        <w:rPr>
          <w:rFonts w:ascii="Times New Roman" w:hAnsi="Times New Roman" w:cs="Times New Roman"/>
        </w:rPr>
        <w:t>n other words, its</w:t>
      </w:r>
      <w:r w:rsidR="00A91522" w:rsidRPr="004536AA">
        <w:rPr>
          <w:rFonts w:ascii="Times New Roman" w:hAnsi="Times New Roman" w:cs="Times New Roman"/>
        </w:rPr>
        <w:t xml:space="preserve"> </w:t>
      </w:r>
      <w:r w:rsidR="00177094" w:rsidRPr="004536AA">
        <w:rPr>
          <w:rFonts w:ascii="Times New Roman" w:hAnsi="Times New Roman" w:cs="Times New Roman"/>
        </w:rPr>
        <w:t>potential</w:t>
      </w:r>
      <w:r w:rsidRPr="004536AA">
        <w:rPr>
          <w:rFonts w:ascii="Times New Roman" w:hAnsi="Times New Roman" w:cs="Times New Roman"/>
        </w:rPr>
        <w:t xml:space="preserve"> to s</w:t>
      </w:r>
      <w:r w:rsidR="004C0AF5" w:rsidRPr="004536AA">
        <w:rPr>
          <w:rFonts w:ascii="Times New Roman" w:hAnsi="Times New Roman" w:cs="Times New Roman"/>
        </w:rPr>
        <w:t>timulat</w:t>
      </w:r>
      <w:r w:rsidR="008B62B5" w:rsidRPr="004536AA">
        <w:rPr>
          <w:rFonts w:ascii="Times New Roman" w:hAnsi="Times New Roman" w:cs="Times New Roman"/>
        </w:rPr>
        <w:t>e lasting changes in a sector and lead</w:t>
      </w:r>
      <w:r w:rsidR="00177094" w:rsidRPr="004536AA">
        <w:rPr>
          <w:rFonts w:ascii="Times New Roman" w:hAnsi="Times New Roman" w:cs="Times New Roman"/>
        </w:rPr>
        <w:t xml:space="preserve"> to </w:t>
      </w:r>
      <w:r w:rsidRPr="004536AA">
        <w:rPr>
          <w:rFonts w:ascii="Times New Roman" w:hAnsi="Times New Roman" w:cs="Times New Roman"/>
        </w:rPr>
        <w:t xml:space="preserve">market transformation.  </w:t>
      </w:r>
    </w:p>
    <w:p w:rsidR="001B2808" w:rsidRPr="001B2808" w:rsidRDefault="001B2808" w:rsidP="00164C9C">
      <w:pPr>
        <w:pStyle w:val="ListParagraph"/>
        <w:ind w:left="360"/>
        <w:jc w:val="both"/>
        <w:rPr>
          <w:rFonts w:ascii="Times New Roman" w:hAnsi="Times New Roman" w:cs="Times New Roman"/>
          <w:b/>
          <w:bCs/>
        </w:rPr>
      </w:pPr>
    </w:p>
    <w:p w:rsidR="00620A05" w:rsidRPr="004536AA" w:rsidRDefault="00EB7755" w:rsidP="00164C9C">
      <w:pPr>
        <w:pStyle w:val="ListParagraph"/>
        <w:numPr>
          <w:ilvl w:val="0"/>
          <w:numId w:val="15"/>
        </w:numPr>
        <w:ind w:left="0" w:firstLine="0"/>
        <w:jc w:val="both"/>
        <w:rPr>
          <w:rFonts w:ascii="Times New Roman" w:hAnsi="Times New Roman" w:cs="Times New Roman"/>
          <w:b/>
          <w:bCs/>
        </w:rPr>
      </w:pPr>
      <w:r w:rsidRPr="004536AA">
        <w:rPr>
          <w:rFonts w:ascii="Times New Roman" w:hAnsi="Times New Roman" w:cs="Times New Roman"/>
        </w:rPr>
        <w:t>To meet expectatio</w:t>
      </w:r>
      <w:r w:rsidR="008B74B2" w:rsidRPr="004536AA">
        <w:rPr>
          <w:rFonts w:ascii="Times New Roman" w:hAnsi="Times New Roman" w:cs="Times New Roman"/>
        </w:rPr>
        <w:t>ns, the CTF needs to show</w:t>
      </w:r>
      <w:r w:rsidRPr="004536AA">
        <w:rPr>
          <w:rFonts w:ascii="Times New Roman" w:hAnsi="Times New Roman" w:cs="Times New Roman"/>
        </w:rPr>
        <w:t xml:space="preserve"> that it </w:t>
      </w:r>
      <w:r w:rsidR="00620A05" w:rsidRPr="004536AA">
        <w:rPr>
          <w:rFonts w:ascii="Times New Roman" w:hAnsi="Times New Roman" w:cs="Times New Roman"/>
        </w:rPr>
        <w:t xml:space="preserve">has contributed to the elimination or lowering of </w:t>
      </w:r>
      <w:r w:rsidRPr="004536AA">
        <w:rPr>
          <w:rFonts w:ascii="Times New Roman" w:hAnsi="Times New Roman" w:cs="Times New Roman"/>
        </w:rPr>
        <w:t>major barriers to market transformation</w:t>
      </w:r>
      <w:r w:rsidR="00C31765" w:rsidRPr="004536AA">
        <w:rPr>
          <w:rFonts w:ascii="Times New Roman" w:hAnsi="Times New Roman" w:cs="Times New Roman"/>
        </w:rPr>
        <w:t>. This includes</w:t>
      </w:r>
      <w:r w:rsidRPr="004536AA">
        <w:rPr>
          <w:rFonts w:ascii="Times New Roman" w:hAnsi="Times New Roman" w:cs="Times New Roman"/>
        </w:rPr>
        <w:t xml:space="preserve"> d</w:t>
      </w:r>
      <w:r w:rsidR="00C31765" w:rsidRPr="004536AA">
        <w:rPr>
          <w:rFonts w:ascii="Times New Roman" w:hAnsi="Times New Roman" w:cs="Times New Roman"/>
        </w:rPr>
        <w:t xml:space="preserve">emonstrating the technical and </w:t>
      </w:r>
      <w:r w:rsidRPr="004536AA">
        <w:rPr>
          <w:rFonts w:ascii="Times New Roman" w:hAnsi="Times New Roman" w:cs="Times New Roman"/>
        </w:rPr>
        <w:t>financial</w:t>
      </w:r>
      <w:r w:rsidR="004C0AF5" w:rsidRPr="004536AA">
        <w:rPr>
          <w:rFonts w:ascii="Times New Roman" w:hAnsi="Times New Roman" w:cs="Times New Roman"/>
        </w:rPr>
        <w:t xml:space="preserve"> viability of </w:t>
      </w:r>
      <w:r w:rsidR="00C31765" w:rsidRPr="004536AA">
        <w:rPr>
          <w:rFonts w:ascii="Times New Roman" w:hAnsi="Times New Roman" w:cs="Times New Roman"/>
        </w:rPr>
        <w:t>low carbo</w:t>
      </w:r>
      <w:r w:rsidR="00620A05" w:rsidRPr="004536AA">
        <w:rPr>
          <w:rFonts w:ascii="Times New Roman" w:hAnsi="Times New Roman" w:cs="Times New Roman"/>
        </w:rPr>
        <w:t xml:space="preserve">n technologies, </w:t>
      </w:r>
      <w:r w:rsidR="004C0AF5" w:rsidRPr="004536AA">
        <w:rPr>
          <w:rFonts w:ascii="Times New Roman" w:hAnsi="Times New Roman" w:cs="Times New Roman"/>
        </w:rPr>
        <w:t xml:space="preserve">reducing their </w:t>
      </w:r>
      <w:r w:rsidR="00C31765" w:rsidRPr="004536AA">
        <w:rPr>
          <w:rFonts w:ascii="Times New Roman" w:hAnsi="Times New Roman" w:cs="Times New Roman"/>
        </w:rPr>
        <w:t>cost</w:t>
      </w:r>
      <w:r w:rsidR="004C0AF5" w:rsidRPr="004536AA">
        <w:rPr>
          <w:rFonts w:ascii="Times New Roman" w:hAnsi="Times New Roman" w:cs="Times New Roman"/>
        </w:rPr>
        <w:t>s</w:t>
      </w:r>
      <w:r w:rsidR="00C31765" w:rsidRPr="004536AA">
        <w:rPr>
          <w:rFonts w:ascii="Times New Roman" w:hAnsi="Times New Roman" w:cs="Times New Roman"/>
        </w:rPr>
        <w:t xml:space="preserve">, </w:t>
      </w:r>
      <w:r w:rsidRPr="004536AA">
        <w:rPr>
          <w:rFonts w:ascii="Times New Roman" w:hAnsi="Times New Roman" w:cs="Times New Roman"/>
        </w:rPr>
        <w:t>increasing national cap</w:t>
      </w:r>
      <w:r w:rsidR="004C0AF5" w:rsidRPr="004536AA">
        <w:rPr>
          <w:rFonts w:ascii="Times New Roman" w:hAnsi="Times New Roman" w:cs="Times New Roman"/>
        </w:rPr>
        <w:t xml:space="preserve">acity for </w:t>
      </w:r>
      <w:r w:rsidR="008B74B2" w:rsidRPr="004536AA">
        <w:rPr>
          <w:rFonts w:ascii="Times New Roman" w:hAnsi="Times New Roman" w:cs="Times New Roman"/>
        </w:rPr>
        <w:t xml:space="preserve">deployment, </w:t>
      </w:r>
      <w:r w:rsidR="00C31765" w:rsidRPr="004536AA">
        <w:rPr>
          <w:rFonts w:ascii="Times New Roman" w:hAnsi="Times New Roman" w:cs="Times New Roman"/>
        </w:rPr>
        <w:t>and</w:t>
      </w:r>
      <w:r w:rsidRPr="004536AA">
        <w:rPr>
          <w:rFonts w:ascii="Times New Roman" w:hAnsi="Times New Roman" w:cs="Times New Roman"/>
        </w:rPr>
        <w:t xml:space="preserve"> enhancing the policy and regulat</w:t>
      </w:r>
      <w:r w:rsidR="004C0AF5" w:rsidRPr="004536AA">
        <w:rPr>
          <w:rFonts w:ascii="Times New Roman" w:hAnsi="Times New Roman" w:cs="Times New Roman"/>
        </w:rPr>
        <w:t xml:space="preserve">ory frameworks to enable </w:t>
      </w:r>
      <w:r w:rsidR="00C31765" w:rsidRPr="004536AA">
        <w:rPr>
          <w:rFonts w:ascii="Times New Roman" w:hAnsi="Times New Roman" w:cs="Times New Roman"/>
        </w:rPr>
        <w:t xml:space="preserve">expanded use. </w:t>
      </w:r>
      <w:r w:rsidRPr="004536AA">
        <w:rPr>
          <w:rFonts w:ascii="Times New Roman" w:hAnsi="Times New Roman" w:cs="Times New Roman"/>
        </w:rPr>
        <w:t>To this end, th</w:t>
      </w:r>
      <w:r w:rsidR="00DD36DA" w:rsidRPr="004536AA">
        <w:rPr>
          <w:rFonts w:ascii="Times New Roman" w:hAnsi="Times New Roman" w:cs="Times New Roman"/>
        </w:rPr>
        <w:t xml:space="preserve">e CTF investment plans </w:t>
      </w:r>
      <w:r w:rsidR="00C31765" w:rsidRPr="004536AA">
        <w:rPr>
          <w:rFonts w:ascii="Times New Roman" w:hAnsi="Times New Roman" w:cs="Times New Roman"/>
        </w:rPr>
        <w:t xml:space="preserve">identify </w:t>
      </w:r>
      <w:r w:rsidR="00DD36DA" w:rsidRPr="004536AA">
        <w:rPr>
          <w:rFonts w:ascii="Times New Roman" w:hAnsi="Times New Roman" w:cs="Times New Roman"/>
        </w:rPr>
        <w:t xml:space="preserve">general </w:t>
      </w:r>
      <w:r w:rsidR="00C31765" w:rsidRPr="004536AA">
        <w:rPr>
          <w:rFonts w:ascii="Times New Roman" w:hAnsi="Times New Roman" w:cs="Times New Roman"/>
        </w:rPr>
        <w:t xml:space="preserve">sector-wide barriers.  </w:t>
      </w:r>
    </w:p>
    <w:p w:rsidR="00620A05" w:rsidRPr="004536AA" w:rsidRDefault="00620A05" w:rsidP="00164C9C">
      <w:pPr>
        <w:pStyle w:val="ListParagraph"/>
        <w:jc w:val="both"/>
        <w:rPr>
          <w:rFonts w:ascii="Times New Roman" w:hAnsi="Times New Roman" w:cs="Times New Roman"/>
        </w:rPr>
      </w:pPr>
    </w:p>
    <w:p w:rsidR="00EB7755" w:rsidRPr="004536AA" w:rsidRDefault="00B7071B" w:rsidP="00164C9C">
      <w:pPr>
        <w:pStyle w:val="ListParagraph"/>
        <w:numPr>
          <w:ilvl w:val="0"/>
          <w:numId w:val="15"/>
        </w:numPr>
        <w:ind w:left="0" w:firstLine="0"/>
        <w:jc w:val="both"/>
        <w:rPr>
          <w:rFonts w:ascii="Times New Roman" w:hAnsi="Times New Roman" w:cs="Times New Roman"/>
          <w:b/>
          <w:bCs/>
        </w:rPr>
      </w:pPr>
      <w:r w:rsidRPr="004536AA">
        <w:rPr>
          <w:rFonts w:ascii="Times New Roman" w:hAnsi="Times New Roman" w:cs="Times New Roman"/>
        </w:rPr>
        <w:t xml:space="preserve">During the design phase, </w:t>
      </w:r>
      <w:r w:rsidR="008B62B5" w:rsidRPr="004536AA">
        <w:rPr>
          <w:rFonts w:ascii="Times New Roman" w:hAnsi="Times New Roman" w:cs="Times New Roman"/>
        </w:rPr>
        <w:t xml:space="preserve">information about the </w:t>
      </w:r>
      <w:r w:rsidR="00EB7755" w:rsidRPr="004536AA">
        <w:rPr>
          <w:rFonts w:ascii="Times New Roman" w:hAnsi="Times New Roman" w:cs="Times New Roman"/>
        </w:rPr>
        <w:t>specifi</w:t>
      </w:r>
      <w:r w:rsidR="00DD36DA" w:rsidRPr="004536AA">
        <w:rPr>
          <w:rFonts w:ascii="Times New Roman" w:hAnsi="Times New Roman" w:cs="Times New Roman"/>
        </w:rPr>
        <w:t>c barrier-lowering results of each individual proj</w:t>
      </w:r>
      <w:r w:rsidR="004C0AF5" w:rsidRPr="004536AA">
        <w:rPr>
          <w:rFonts w:ascii="Times New Roman" w:hAnsi="Times New Roman" w:cs="Times New Roman"/>
        </w:rPr>
        <w:t xml:space="preserve">ect </w:t>
      </w:r>
      <w:r w:rsidR="00DD36DA" w:rsidRPr="004536AA">
        <w:rPr>
          <w:rFonts w:ascii="Times New Roman" w:hAnsi="Times New Roman" w:cs="Times New Roman"/>
        </w:rPr>
        <w:t xml:space="preserve">or the transformational change in the </w:t>
      </w:r>
      <w:r w:rsidR="00EB7755" w:rsidRPr="004536AA">
        <w:rPr>
          <w:rFonts w:ascii="Times New Roman" w:hAnsi="Times New Roman" w:cs="Times New Roman"/>
        </w:rPr>
        <w:t>targ</w:t>
      </w:r>
      <w:r w:rsidR="00DD36DA" w:rsidRPr="004536AA">
        <w:rPr>
          <w:rFonts w:ascii="Times New Roman" w:hAnsi="Times New Roman" w:cs="Times New Roman"/>
        </w:rPr>
        <w:t>et market</w:t>
      </w:r>
      <w:r w:rsidR="00EB7755" w:rsidRPr="004536AA">
        <w:rPr>
          <w:rFonts w:ascii="Times New Roman" w:hAnsi="Times New Roman" w:cs="Times New Roman"/>
        </w:rPr>
        <w:t xml:space="preserve"> is not available </w:t>
      </w:r>
      <w:r w:rsidR="00AD1567" w:rsidRPr="004536AA">
        <w:rPr>
          <w:rFonts w:ascii="Times New Roman" w:hAnsi="Times New Roman" w:cs="Times New Roman"/>
        </w:rPr>
        <w:t>since</w:t>
      </w:r>
      <w:r w:rsidR="00620A05" w:rsidRPr="004536AA">
        <w:rPr>
          <w:rFonts w:ascii="Times New Roman" w:hAnsi="Times New Roman" w:cs="Times New Roman"/>
        </w:rPr>
        <w:t xml:space="preserve"> projects have </w:t>
      </w:r>
      <w:r w:rsidR="009F35FB" w:rsidRPr="004536AA">
        <w:rPr>
          <w:rFonts w:ascii="Times New Roman" w:hAnsi="Times New Roman" w:cs="Times New Roman"/>
        </w:rPr>
        <w:t xml:space="preserve">not yet </w:t>
      </w:r>
      <w:r w:rsidR="00620A05" w:rsidRPr="004536AA">
        <w:rPr>
          <w:rFonts w:ascii="Times New Roman" w:hAnsi="Times New Roman" w:cs="Times New Roman"/>
        </w:rPr>
        <w:t xml:space="preserve">been </w:t>
      </w:r>
      <w:r w:rsidRPr="004536AA">
        <w:rPr>
          <w:rFonts w:ascii="Times New Roman" w:hAnsi="Times New Roman" w:cs="Times New Roman"/>
        </w:rPr>
        <w:t>identified.  This</w:t>
      </w:r>
      <w:r w:rsidR="00620A05" w:rsidRPr="004536AA">
        <w:rPr>
          <w:rFonts w:ascii="Times New Roman" w:hAnsi="Times New Roman" w:cs="Times New Roman"/>
        </w:rPr>
        <w:t xml:space="preserve"> </w:t>
      </w:r>
      <w:r w:rsidR="00A24186" w:rsidRPr="004536AA">
        <w:rPr>
          <w:rFonts w:ascii="Times New Roman" w:hAnsi="Times New Roman" w:cs="Times New Roman"/>
        </w:rPr>
        <w:t xml:space="preserve">level of detail </w:t>
      </w:r>
      <w:r w:rsidR="00620A05" w:rsidRPr="004536AA">
        <w:rPr>
          <w:rFonts w:ascii="Times New Roman" w:hAnsi="Times New Roman" w:cs="Times New Roman"/>
        </w:rPr>
        <w:t>is generally</w:t>
      </w:r>
      <w:r w:rsidR="00F55F2E" w:rsidRPr="004536AA">
        <w:rPr>
          <w:rFonts w:ascii="Times New Roman" w:hAnsi="Times New Roman" w:cs="Times New Roman"/>
        </w:rPr>
        <w:t xml:space="preserve"> </w:t>
      </w:r>
      <w:r w:rsidR="00DD36DA" w:rsidRPr="004536AA">
        <w:rPr>
          <w:rFonts w:ascii="Times New Roman" w:hAnsi="Times New Roman" w:cs="Times New Roman"/>
        </w:rPr>
        <w:t xml:space="preserve">included when </w:t>
      </w:r>
      <w:r w:rsidR="00AD1567" w:rsidRPr="004536AA">
        <w:rPr>
          <w:rFonts w:ascii="Times New Roman" w:hAnsi="Times New Roman" w:cs="Times New Roman"/>
        </w:rPr>
        <w:t xml:space="preserve">individual </w:t>
      </w:r>
      <w:r w:rsidR="00DD36DA" w:rsidRPr="004536AA">
        <w:rPr>
          <w:rFonts w:ascii="Times New Roman" w:hAnsi="Times New Roman" w:cs="Times New Roman"/>
        </w:rPr>
        <w:t xml:space="preserve">project </w:t>
      </w:r>
      <w:r w:rsidR="00AD1567" w:rsidRPr="004536AA">
        <w:rPr>
          <w:rFonts w:ascii="Times New Roman" w:hAnsi="Times New Roman" w:cs="Times New Roman"/>
        </w:rPr>
        <w:t xml:space="preserve">and program </w:t>
      </w:r>
      <w:r w:rsidR="00DD36DA" w:rsidRPr="004536AA">
        <w:rPr>
          <w:rFonts w:ascii="Times New Roman" w:hAnsi="Times New Roman" w:cs="Times New Roman"/>
        </w:rPr>
        <w:t>proposals are submitted to the Trust F</w:t>
      </w:r>
      <w:r w:rsidR="00EB7755" w:rsidRPr="004536AA">
        <w:rPr>
          <w:rFonts w:ascii="Times New Roman" w:hAnsi="Times New Roman" w:cs="Times New Roman"/>
        </w:rPr>
        <w:t>und Committee</w:t>
      </w:r>
      <w:r w:rsidR="00620A05" w:rsidRPr="004536AA">
        <w:rPr>
          <w:rFonts w:ascii="Times New Roman" w:hAnsi="Times New Roman" w:cs="Times New Roman"/>
        </w:rPr>
        <w:t xml:space="preserve"> for approval.</w:t>
      </w:r>
      <w:r w:rsidR="00EB7755" w:rsidRPr="004536AA">
        <w:rPr>
          <w:rFonts w:ascii="Times New Roman" w:hAnsi="Times New Roman" w:cs="Times New Roman"/>
        </w:rPr>
        <w:t xml:space="preserve"> </w:t>
      </w:r>
      <w:r w:rsidR="008B62B5" w:rsidRPr="004536AA">
        <w:rPr>
          <w:rFonts w:ascii="Times New Roman" w:hAnsi="Times New Roman" w:cs="Times New Roman"/>
        </w:rPr>
        <w:t>Defining such specific transformational changes clarifies the intended impact of CTF investments.</w:t>
      </w:r>
    </w:p>
    <w:p w:rsidR="00EB7755" w:rsidRPr="004536AA" w:rsidRDefault="00EB7755" w:rsidP="00164C9C">
      <w:pPr>
        <w:pStyle w:val="ListParagraph"/>
        <w:ind w:firstLine="45"/>
        <w:jc w:val="both"/>
        <w:rPr>
          <w:rFonts w:ascii="Times New Roman" w:hAnsi="Times New Roman" w:cs="Times New Roman"/>
          <w:b/>
          <w:bCs/>
        </w:rPr>
      </w:pPr>
    </w:p>
    <w:p w:rsidR="00FA5958" w:rsidRPr="004536AA" w:rsidRDefault="00B7071B" w:rsidP="00164C9C">
      <w:pPr>
        <w:pStyle w:val="ListParagraph"/>
        <w:numPr>
          <w:ilvl w:val="0"/>
          <w:numId w:val="15"/>
        </w:numPr>
        <w:ind w:left="0" w:firstLine="0"/>
        <w:jc w:val="both"/>
        <w:rPr>
          <w:rFonts w:ascii="Times New Roman" w:hAnsi="Times New Roman" w:cs="Times New Roman"/>
        </w:rPr>
      </w:pPr>
      <w:r w:rsidRPr="004536AA">
        <w:rPr>
          <w:rFonts w:ascii="Times New Roman" w:hAnsi="Times New Roman" w:cs="Times New Roman"/>
          <w:b/>
          <w:bCs/>
        </w:rPr>
        <w:t xml:space="preserve">In </w:t>
      </w:r>
      <w:r w:rsidR="00EB7755" w:rsidRPr="004536AA">
        <w:rPr>
          <w:rFonts w:ascii="Times New Roman" w:hAnsi="Times New Roman" w:cs="Times New Roman"/>
          <w:b/>
          <w:bCs/>
        </w:rPr>
        <w:t>underdeveloped</w:t>
      </w:r>
      <w:r w:rsidR="00A24186" w:rsidRPr="004536AA">
        <w:rPr>
          <w:rFonts w:ascii="Times New Roman" w:hAnsi="Times New Roman" w:cs="Times New Roman"/>
          <w:b/>
          <w:bCs/>
        </w:rPr>
        <w:t xml:space="preserve"> but promising</w:t>
      </w:r>
      <w:r w:rsidR="00EB7755" w:rsidRPr="004536AA">
        <w:rPr>
          <w:rFonts w:ascii="Times New Roman" w:hAnsi="Times New Roman" w:cs="Times New Roman"/>
          <w:b/>
          <w:bCs/>
        </w:rPr>
        <w:t xml:space="preserve"> niche markets</w:t>
      </w:r>
      <w:r w:rsidRPr="004536AA">
        <w:rPr>
          <w:rFonts w:ascii="Times New Roman" w:hAnsi="Times New Roman" w:cs="Times New Roman"/>
          <w:b/>
          <w:bCs/>
        </w:rPr>
        <w:t xml:space="preserve">, </w:t>
      </w:r>
      <w:r w:rsidR="008B74B2" w:rsidRPr="004536AA">
        <w:rPr>
          <w:rFonts w:ascii="Times New Roman" w:hAnsi="Times New Roman" w:cs="Times New Roman"/>
          <w:b/>
          <w:bCs/>
        </w:rPr>
        <w:t>even limited CTF resources</w:t>
      </w:r>
      <w:r w:rsidR="005D346B" w:rsidRPr="004536AA">
        <w:rPr>
          <w:rFonts w:ascii="Times New Roman" w:hAnsi="Times New Roman" w:cs="Times New Roman"/>
          <w:b/>
          <w:bCs/>
        </w:rPr>
        <w:t xml:space="preserve"> can significantly in</w:t>
      </w:r>
      <w:r w:rsidRPr="004536AA">
        <w:rPr>
          <w:rFonts w:ascii="Times New Roman" w:hAnsi="Times New Roman" w:cs="Times New Roman"/>
          <w:b/>
          <w:bCs/>
        </w:rPr>
        <w:t xml:space="preserve">crease low baseline investments and lay the groundwork for transformational change. </w:t>
      </w:r>
      <w:r w:rsidR="00BC5199" w:rsidRPr="004536AA">
        <w:rPr>
          <w:rFonts w:ascii="Times New Roman" w:hAnsi="Times New Roman" w:cs="Times New Roman"/>
          <w:b/>
          <w:bCs/>
        </w:rPr>
        <w:t xml:space="preserve"> </w:t>
      </w:r>
      <w:r w:rsidR="00EB7755" w:rsidRPr="004536AA">
        <w:rPr>
          <w:rFonts w:ascii="Times New Roman" w:hAnsi="Times New Roman" w:cs="Times New Roman"/>
        </w:rPr>
        <w:t>Recognizing the importance of realistically leveraging its competit</w:t>
      </w:r>
      <w:r w:rsidR="009F35FB" w:rsidRPr="004536AA">
        <w:rPr>
          <w:rFonts w:ascii="Times New Roman" w:hAnsi="Times New Roman" w:cs="Times New Roman"/>
        </w:rPr>
        <w:t xml:space="preserve">ive advantage, the CTF </w:t>
      </w:r>
      <w:r w:rsidR="00EB7755" w:rsidRPr="004536AA">
        <w:rPr>
          <w:rFonts w:ascii="Times New Roman" w:hAnsi="Times New Roman" w:cs="Times New Roman"/>
        </w:rPr>
        <w:t xml:space="preserve">focuses on subsets of the clean technology sector that have the potential to be </w:t>
      </w:r>
      <w:r w:rsidR="00BC5199" w:rsidRPr="004536AA">
        <w:rPr>
          <w:rFonts w:ascii="Times New Roman" w:hAnsi="Times New Roman" w:cs="Times New Roman"/>
        </w:rPr>
        <w:t xml:space="preserve">scaled up, but are </w:t>
      </w:r>
      <w:r w:rsidR="009F35FB" w:rsidRPr="004536AA">
        <w:rPr>
          <w:rFonts w:ascii="Times New Roman" w:hAnsi="Times New Roman" w:cs="Times New Roman"/>
        </w:rPr>
        <w:t xml:space="preserve">yet </w:t>
      </w:r>
      <w:r w:rsidRPr="004536AA">
        <w:rPr>
          <w:rFonts w:ascii="Times New Roman" w:hAnsi="Times New Roman" w:cs="Times New Roman"/>
        </w:rPr>
        <w:t>untapped</w:t>
      </w:r>
      <w:r w:rsidR="009F35FB" w:rsidRPr="004536AA">
        <w:rPr>
          <w:rFonts w:ascii="Times New Roman" w:hAnsi="Times New Roman" w:cs="Times New Roman"/>
        </w:rPr>
        <w:t>.  One strategic approach</w:t>
      </w:r>
      <w:r w:rsidR="00237002" w:rsidRPr="004536AA">
        <w:rPr>
          <w:rFonts w:ascii="Times New Roman" w:hAnsi="Times New Roman" w:cs="Times New Roman"/>
        </w:rPr>
        <w:t xml:space="preserve"> is to use CTF resources to increase low baseline investment levels in niche markets. </w:t>
      </w:r>
    </w:p>
    <w:p w:rsidR="00417DC5" w:rsidRPr="004536AA" w:rsidRDefault="00417DC5" w:rsidP="00164C9C">
      <w:pPr>
        <w:pStyle w:val="ListParagraph"/>
        <w:jc w:val="both"/>
        <w:rPr>
          <w:rFonts w:ascii="Times New Roman" w:hAnsi="Times New Roman" w:cs="Times New Roman"/>
        </w:rPr>
      </w:pPr>
    </w:p>
    <w:p w:rsidR="00417DC5" w:rsidRPr="004536AA" w:rsidRDefault="00417DC5" w:rsidP="00164C9C">
      <w:pPr>
        <w:pStyle w:val="ListParagraph"/>
        <w:numPr>
          <w:ilvl w:val="0"/>
          <w:numId w:val="15"/>
        </w:numPr>
        <w:ind w:left="0" w:firstLine="0"/>
        <w:jc w:val="both"/>
        <w:rPr>
          <w:rFonts w:ascii="Times New Roman" w:hAnsi="Times New Roman" w:cs="Times New Roman"/>
        </w:rPr>
      </w:pPr>
      <w:r w:rsidRPr="004536AA">
        <w:rPr>
          <w:rFonts w:ascii="Times New Roman" w:hAnsi="Times New Roman" w:cs="Times New Roman"/>
        </w:rPr>
        <w:t xml:space="preserve">In Mexico, the CTF is accelerating the development of Mexico’s private wind market by targeting the untapped wind power potential in the state of Oaxaca.  Oaxaca has more than 5,000 megawatts of world class wind potential, but only 88 megawatts are </w:t>
      </w:r>
      <w:r w:rsidRPr="004536AA">
        <w:rPr>
          <w:rFonts w:ascii="Times New Roman" w:hAnsi="Times New Roman" w:cs="Times New Roman"/>
        </w:rPr>
        <w:lastRenderedPageBreak/>
        <w:t>operational to date.  The government plans to use the CTF funds to build a wind power generation plant and attract private commercial banks to provide debt financing for the construction and implementation of wind projects.</w:t>
      </w:r>
    </w:p>
    <w:p w:rsidR="00FA5958" w:rsidRPr="004536AA" w:rsidRDefault="00FA5958" w:rsidP="00164C9C">
      <w:pPr>
        <w:ind w:left="360"/>
        <w:jc w:val="both"/>
        <w:rPr>
          <w:rFonts w:ascii="Times New Roman" w:hAnsi="Times New Roman" w:cs="Times New Roman"/>
        </w:rPr>
      </w:pPr>
    </w:p>
    <w:p w:rsidR="00A24186" w:rsidRPr="004536AA" w:rsidRDefault="00417DC5" w:rsidP="00164C9C">
      <w:pPr>
        <w:pStyle w:val="ListParagraph"/>
        <w:numPr>
          <w:ilvl w:val="0"/>
          <w:numId w:val="15"/>
        </w:numPr>
        <w:ind w:left="0" w:firstLine="0"/>
        <w:jc w:val="both"/>
        <w:rPr>
          <w:rFonts w:ascii="Times New Roman" w:hAnsi="Times New Roman" w:cs="Times New Roman"/>
        </w:rPr>
      </w:pPr>
      <w:r w:rsidRPr="004536AA">
        <w:rPr>
          <w:rFonts w:ascii="Times New Roman" w:hAnsi="Times New Roman" w:cs="Times New Roman"/>
        </w:rPr>
        <w:t>C</w:t>
      </w:r>
      <w:r w:rsidR="00EB7755" w:rsidRPr="004536AA">
        <w:rPr>
          <w:rFonts w:ascii="Times New Roman" w:hAnsi="Times New Roman" w:cs="Times New Roman"/>
        </w:rPr>
        <w:t xml:space="preserve">oncentrated solar power </w:t>
      </w:r>
      <w:r w:rsidRPr="004536AA">
        <w:rPr>
          <w:rFonts w:ascii="Times New Roman" w:hAnsi="Times New Roman" w:cs="Times New Roman"/>
        </w:rPr>
        <w:t>is a niche technology that has attracted minimal investment in developing countries.</w:t>
      </w:r>
      <w:r w:rsidR="00EB7755" w:rsidRPr="004536AA">
        <w:rPr>
          <w:rFonts w:ascii="Times New Roman" w:hAnsi="Times New Roman" w:cs="Times New Roman"/>
        </w:rPr>
        <w:t xml:space="preserve"> The CTF investment </w:t>
      </w:r>
      <w:r w:rsidR="008D2808" w:rsidRPr="004536AA">
        <w:rPr>
          <w:rFonts w:ascii="Times New Roman" w:hAnsi="Times New Roman" w:cs="Times New Roman"/>
        </w:rPr>
        <w:t>in the MENA</w:t>
      </w:r>
      <w:r w:rsidR="009F35FB" w:rsidRPr="004536AA">
        <w:rPr>
          <w:rFonts w:ascii="Times New Roman" w:hAnsi="Times New Roman" w:cs="Times New Roman"/>
        </w:rPr>
        <w:t xml:space="preserve"> regional</w:t>
      </w:r>
      <w:r w:rsidR="008D2808" w:rsidRPr="004536AA">
        <w:rPr>
          <w:rFonts w:ascii="Times New Roman" w:hAnsi="Times New Roman" w:cs="Times New Roman"/>
        </w:rPr>
        <w:t xml:space="preserve"> project</w:t>
      </w:r>
      <w:r w:rsidR="008B66A7" w:rsidRPr="004536AA">
        <w:rPr>
          <w:rFonts w:ascii="Times New Roman" w:hAnsi="Times New Roman" w:cs="Times New Roman"/>
        </w:rPr>
        <w:t xml:space="preserve"> is expected to </w:t>
      </w:r>
      <w:r w:rsidR="008D2808" w:rsidRPr="004536AA">
        <w:rPr>
          <w:rFonts w:ascii="Times New Roman" w:hAnsi="Times New Roman" w:cs="Times New Roman"/>
        </w:rPr>
        <w:t xml:space="preserve">support the deployment of about one gigawatt of </w:t>
      </w:r>
      <w:r w:rsidRPr="004536AA">
        <w:rPr>
          <w:rFonts w:ascii="Times New Roman" w:hAnsi="Times New Roman" w:cs="Times New Roman"/>
        </w:rPr>
        <w:t xml:space="preserve">CSP </w:t>
      </w:r>
      <w:r w:rsidR="008D2808" w:rsidRPr="004536AA">
        <w:rPr>
          <w:rFonts w:ascii="Times New Roman" w:hAnsi="Times New Roman" w:cs="Times New Roman"/>
        </w:rPr>
        <w:t xml:space="preserve">generation capacity, </w:t>
      </w:r>
      <w:r w:rsidR="008B66A7" w:rsidRPr="004536AA">
        <w:rPr>
          <w:rFonts w:ascii="Times New Roman" w:hAnsi="Times New Roman" w:cs="Times New Roman"/>
        </w:rPr>
        <w:t>almost trip</w:t>
      </w:r>
      <w:r w:rsidR="008D2808" w:rsidRPr="004536AA">
        <w:rPr>
          <w:rFonts w:ascii="Times New Roman" w:hAnsi="Times New Roman" w:cs="Times New Roman"/>
        </w:rPr>
        <w:t xml:space="preserve">ling current global levels. </w:t>
      </w:r>
      <w:r w:rsidRPr="004536AA">
        <w:rPr>
          <w:rFonts w:ascii="Times New Roman" w:hAnsi="Times New Roman" w:cs="Times New Roman"/>
        </w:rPr>
        <w:t xml:space="preserve">The project is expected to </w:t>
      </w:r>
      <w:r w:rsidR="008B66A7" w:rsidRPr="004536AA">
        <w:rPr>
          <w:rFonts w:ascii="Times New Roman" w:hAnsi="Times New Roman" w:cs="Times New Roman"/>
        </w:rPr>
        <w:t xml:space="preserve"> </w:t>
      </w:r>
      <w:r w:rsidRPr="004536AA">
        <w:rPr>
          <w:rFonts w:ascii="Times New Roman" w:hAnsi="Times New Roman" w:cs="Times New Roman"/>
        </w:rPr>
        <w:t xml:space="preserve">produce </w:t>
      </w:r>
      <w:r w:rsidR="008B66A7" w:rsidRPr="004536AA">
        <w:rPr>
          <w:rFonts w:ascii="Times New Roman" w:hAnsi="Times New Roman" w:cs="Times New Roman"/>
        </w:rPr>
        <w:t xml:space="preserve">higher </w:t>
      </w:r>
      <w:r w:rsidR="00EB7755" w:rsidRPr="004536AA">
        <w:rPr>
          <w:rFonts w:ascii="Times New Roman" w:hAnsi="Times New Roman" w:cs="Times New Roman"/>
        </w:rPr>
        <w:t xml:space="preserve">capacity plants with state of the art technologies, </w:t>
      </w:r>
      <w:r w:rsidRPr="004536AA">
        <w:rPr>
          <w:rFonts w:ascii="Times New Roman" w:hAnsi="Times New Roman" w:cs="Times New Roman"/>
        </w:rPr>
        <w:t xml:space="preserve">reduce CSP technology costs, build technical </w:t>
      </w:r>
      <w:r w:rsidR="00EB7755" w:rsidRPr="004536AA">
        <w:rPr>
          <w:rFonts w:ascii="Times New Roman" w:hAnsi="Times New Roman" w:cs="Times New Roman"/>
        </w:rPr>
        <w:t xml:space="preserve">capacity, and </w:t>
      </w:r>
      <w:r w:rsidRPr="004536AA">
        <w:rPr>
          <w:rFonts w:ascii="Times New Roman" w:hAnsi="Times New Roman" w:cs="Times New Roman"/>
        </w:rPr>
        <w:t xml:space="preserve">establish </w:t>
      </w:r>
      <w:r w:rsidR="008D2808" w:rsidRPr="004536AA">
        <w:rPr>
          <w:rFonts w:ascii="Times New Roman" w:hAnsi="Times New Roman" w:cs="Times New Roman"/>
        </w:rPr>
        <w:t>performance benchmarks</w:t>
      </w:r>
      <w:r w:rsidR="00EB7755" w:rsidRPr="004536AA">
        <w:rPr>
          <w:rFonts w:ascii="Times New Roman" w:hAnsi="Times New Roman" w:cs="Times New Roman"/>
        </w:rPr>
        <w:t xml:space="preserve">.  These advances are expected to transform the regional market for large-scale solar technology.  </w:t>
      </w:r>
    </w:p>
    <w:p w:rsidR="00A24186" w:rsidRPr="004536AA" w:rsidRDefault="00A24186" w:rsidP="00164C9C">
      <w:pPr>
        <w:pStyle w:val="ListParagraph"/>
        <w:jc w:val="both"/>
        <w:rPr>
          <w:rFonts w:ascii="Times New Roman" w:hAnsi="Times New Roman" w:cs="Times New Roman"/>
          <w:b/>
          <w:bCs/>
        </w:rPr>
      </w:pPr>
    </w:p>
    <w:p w:rsidR="00A24186" w:rsidRPr="004536AA" w:rsidRDefault="00EB7755" w:rsidP="00164C9C">
      <w:pPr>
        <w:pStyle w:val="ListParagraph"/>
        <w:numPr>
          <w:ilvl w:val="0"/>
          <w:numId w:val="15"/>
        </w:numPr>
        <w:ind w:left="0" w:firstLine="0"/>
        <w:jc w:val="both"/>
        <w:rPr>
          <w:rFonts w:ascii="Times New Roman" w:hAnsi="Times New Roman" w:cs="Times New Roman"/>
        </w:rPr>
      </w:pPr>
      <w:r w:rsidRPr="004536AA">
        <w:rPr>
          <w:rFonts w:ascii="Times New Roman" w:hAnsi="Times New Roman" w:cs="Times New Roman"/>
          <w:b/>
          <w:bCs/>
        </w:rPr>
        <w:t xml:space="preserve">CTF financing represents only a fraction of overall low carbon investments in most </w:t>
      </w:r>
      <w:r w:rsidR="005D346B" w:rsidRPr="004536AA">
        <w:rPr>
          <w:rFonts w:ascii="Times New Roman" w:hAnsi="Times New Roman" w:cs="Times New Roman"/>
          <w:b/>
          <w:bCs/>
        </w:rPr>
        <w:t xml:space="preserve">partner </w:t>
      </w:r>
      <w:r w:rsidR="00F51DA7" w:rsidRPr="004536AA">
        <w:rPr>
          <w:rFonts w:ascii="Times New Roman" w:hAnsi="Times New Roman" w:cs="Times New Roman"/>
          <w:b/>
          <w:bCs/>
        </w:rPr>
        <w:t xml:space="preserve">countries, </w:t>
      </w:r>
      <w:r w:rsidR="00B7071B" w:rsidRPr="004536AA">
        <w:rPr>
          <w:rFonts w:ascii="Times New Roman" w:hAnsi="Times New Roman" w:cs="Times New Roman"/>
          <w:b/>
          <w:bCs/>
        </w:rPr>
        <w:t xml:space="preserve">but </w:t>
      </w:r>
      <w:r w:rsidR="00F51DA7" w:rsidRPr="004536AA">
        <w:rPr>
          <w:rFonts w:ascii="Times New Roman" w:hAnsi="Times New Roman" w:cs="Times New Roman"/>
          <w:b/>
          <w:bCs/>
        </w:rPr>
        <w:t xml:space="preserve">its targeted focus can </w:t>
      </w:r>
      <w:r w:rsidRPr="004536AA">
        <w:rPr>
          <w:rFonts w:ascii="Times New Roman" w:hAnsi="Times New Roman" w:cs="Times New Roman"/>
          <w:b/>
          <w:bCs/>
        </w:rPr>
        <w:t xml:space="preserve">catalyze transformational change.  </w:t>
      </w:r>
      <w:r w:rsidRPr="004536AA">
        <w:rPr>
          <w:rFonts w:ascii="Times New Roman" w:hAnsi="Times New Roman" w:cs="Times New Roman"/>
        </w:rPr>
        <w:t xml:space="preserve">CTF financing in most target markets is relatively modest in comparison to overall country investment needs, </w:t>
      </w:r>
      <w:r w:rsidR="008D2808" w:rsidRPr="004536AA">
        <w:rPr>
          <w:rFonts w:ascii="Times New Roman" w:hAnsi="Times New Roman" w:cs="Times New Roman"/>
        </w:rPr>
        <w:t>but</w:t>
      </w:r>
      <w:r w:rsidRPr="004536AA">
        <w:rPr>
          <w:rFonts w:ascii="Times New Roman" w:hAnsi="Times New Roman" w:cs="Times New Roman"/>
        </w:rPr>
        <w:t xml:space="preserve"> it can still encourage the adoption of climate-friendly approaches and overcome barriers to the introduction of new technol</w:t>
      </w:r>
      <w:r w:rsidR="009F35FB" w:rsidRPr="004536AA">
        <w:rPr>
          <w:rFonts w:ascii="Times New Roman" w:hAnsi="Times New Roman" w:cs="Times New Roman"/>
        </w:rPr>
        <w:t xml:space="preserve">ogies. </w:t>
      </w:r>
    </w:p>
    <w:p w:rsidR="00A24186" w:rsidRPr="004536AA" w:rsidRDefault="00A24186" w:rsidP="00164C9C">
      <w:pPr>
        <w:pStyle w:val="ListParagraph"/>
        <w:jc w:val="both"/>
        <w:rPr>
          <w:rFonts w:ascii="Times New Roman" w:hAnsi="Times New Roman" w:cs="Times New Roman"/>
          <w:bCs/>
        </w:rPr>
      </w:pPr>
    </w:p>
    <w:p w:rsidR="00447F7C" w:rsidRPr="004536AA" w:rsidRDefault="002B36C7" w:rsidP="00164C9C">
      <w:pPr>
        <w:pStyle w:val="ListParagraph"/>
        <w:numPr>
          <w:ilvl w:val="0"/>
          <w:numId w:val="15"/>
        </w:numPr>
        <w:ind w:left="0" w:firstLine="0"/>
        <w:jc w:val="both"/>
        <w:rPr>
          <w:rFonts w:ascii="Times New Roman" w:hAnsi="Times New Roman" w:cs="Times New Roman"/>
        </w:rPr>
      </w:pPr>
      <w:r>
        <w:rPr>
          <w:rFonts w:ascii="Times New Roman" w:hAnsi="Times New Roman" w:cs="Times New Roman"/>
          <w:bCs/>
        </w:rPr>
        <w:t xml:space="preserve">The MDBs, </w:t>
      </w:r>
      <w:r w:rsidR="00447F7C" w:rsidRPr="004536AA">
        <w:rPr>
          <w:rFonts w:ascii="Times New Roman" w:hAnsi="Times New Roman" w:cs="Times New Roman"/>
          <w:bCs/>
        </w:rPr>
        <w:t xml:space="preserve">including IFC, are supporting transformational change by bolstering energy efficiency programs in South Africa, Mexico, Turkey, the Philippines, and other countries.  The </w:t>
      </w:r>
      <w:r w:rsidR="007349C5" w:rsidRPr="004536AA">
        <w:rPr>
          <w:rFonts w:ascii="Times New Roman" w:hAnsi="Times New Roman" w:cs="Times New Roman"/>
          <w:bCs/>
        </w:rPr>
        <w:t xml:space="preserve">relatively modest </w:t>
      </w:r>
      <w:r w:rsidR="00447F7C" w:rsidRPr="004536AA">
        <w:rPr>
          <w:rFonts w:ascii="Times New Roman" w:hAnsi="Times New Roman" w:cs="Times New Roman"/>
          <w:bCs/>
        </w:rPr>
        <w:t xml:space="preserve">energy efficiency programs </w:t>
      </w:r>
      <w:r w:rsidR="007349C5" w:rsidRPr="004536AA">
        <w:rPr>
          <w:rFonts w:ascii="Times New Roman" w:hAnsi="Times New Roman" w:cs="Times New Roman"/>
          <w:bCs/>
        </w:rPr>
        <w:t xml:space="preserve">aim to significantly reduce emissions by </w:t>
      </w:r>
      <w:r w:rsidR="00447F7C" w:rsidRPr="004536AA">
        <w:rPr>
          <w:rFonts w:ascii="Times New Roman" w:hAnsi="Times New Roman" w:cs="Times New Roman"/>
          <w:bCs/>
        </w:rPr>
        <w:t>target</w:t>
      </w:r>
      <w:r w:rsidR="007349C5" w:rsidRPr="004536AA">
        <w:rPr>
          <w:rFonts w:ascii="Times New Roman" w:hAnsi="Times New Roman" w:cs="Times New Roman"/>
          <w:bCs/>
        </w:rPr>
        <w:t>ing</w:t>
      </w:r>
      <w:r w:rsidR="00CF1842" w:rsidRPr="004536AA">
        <w:rPr>
          <w:rFonts w:ascii="Times New Roman" w:hAnsi="Times New Roman" w:cs="Times New Roman"/>
          <w:bCs/>
        </w:rPr>
        <w:t xml:space="preserve"> energy intensive </w:t>
      </w:r>
      <w:r w:rsidR="00447F7C" w:rsidRPr="004536AA">
        <w:rPr>
          <w:rFonts w:ascii="Times New Roman" w:hAnsi="Times New Roman" w:cs="Times New Roman"/>
          <w:bCs/>
        </w:rPr>
        <w:t xml:space="preserve">industries as well as consumer markets.  </w:t>
      </w:r>
    </w:p>
    <w:p w:rsidR="007349C5" w:rsidRPr="004536AA" w:rsidRDefault="007349C5" w:rsidP="00164C9C">
      <w:pPr>
        <w:jc w:val="both"/>
        <w:rPr>
          <w:rFonts w:ascii="Times New Roman" w:hAnsi="Times New Roman" w:cs="Times New Roman"/>
          <w:b/>
          <w:bCs/>
        </w:rPr>
      </w:pPr>
    </w:p>
    <w:p w:rsidR="00EB7755" w:rsidRPr="004536AA" w:rsidRDefault="00EB7755" w:rsidP="00164C9C">
      <w:pPr>
        <w:jc w:val="both"/>
        <w:rPr>
          <w:rFonts w:ascii="Times New Roman" w:hAnsi="Times New Roman" w:cs="Times New Roman"/>
          <w:b/>
          <w:bCs/>
          <w:i/>
          <w:iCs/>
        </w:rPr>
      </w:pPr>
      <w:r w:rsidRPr="004536AA">
        <w:rPr>
          <w:rFonts w:ascii="Times New Roman" w:hAnsi="Times New Roman" w:cs="Times New Roman"/>
          <w:b/>
          <w:bCs/>
          <w:i/>
          <w:iCs/>
        </w:rPr>
        <w:t>Enabling Environment</w:t>
      </w:r>
    </w:p>
    <w:p w:rsidR="00EB7755" w:rsidRPr="004536AA" w:rsidRDefault="00EB7755" w:rsidP="00164C9C">
      <w:pPr>
        <w:pStyle w:val="ListParagraph"/>
        <w:ind w:left="0"/>
        <w:jc w:val="both"/>
        <w:rPr>
          <w:rFonts w:ascii="Times New Roman" w:hAnsi="Times New Roman" w:cs="Times New Roman"/>
          <w:b/>
          <w:bCs/>
          <w:i/>
          <w:iCs/>
        </w:rPr>
      </w:pPr>
    </w:p>
    <w:p w:rsidR="008318BF" w:rsidRPr="004536AA" w:rsidRDefault="007B28E2" w:rsidP="00164C9C">
      <w:pPr>
        <w:pStyle w:val="ListParagraph"/>
        <w:numPr>
          <w:ilvl w:val="0"/>
          <w:numId w:val="15"/>
        </w:numPr>
        <w:ind w:left="0" w:firstLine="0"/>
        <w:jc w:val="both"/>
        <w:rPr>
          <w:rFonts w:ascii="Times New Roman" w:hAnsi="Times New Roman" w:cs="Times New Roman"/>
        </w:rPr>
      </w:pPr>
      <w:r w:rsidRPr="004536AA">
        <w:rPr>
          <w:rFonts w:ascii="Times New Roman" w:hAnsi="Times New Roman" w:cs="Times New Roman"/>
          <w:b/>
          <w:bCs/>
        </w:rPr>
        <w:t>CTF investment plans generally assess shortcomings in</w:t>
      </w:r>
      <w:r w:rsidR="00A24186" w:rsidRPr="004536AA">
        <w:rPr>
          <w:rFonts w:ascii="Times New Roman" w:hAnsi="Times New Roman" w:cs="Times New Roman"/>
          <w:b/>
          <w:bCs/>
        </w:rPr>
        <w:t xml:space="preserve"> a</w:t>
      </w:r>
      <w:r w:rsidRPr="004536AA">
        <w:rPr>
          <w:rFonts w:ascii="Times New Roman" w:hAnsi="Times New Roman" w:cs="Times New Roman"/>
          <w:b/>
          <w:bCs/>
        </w:rPr>
        <w:t xml:space="preserve"> country’s enabling environment, but it is too soon to determine if this recognition </w:t>
      </w:r>
      <w:r w:rsidR="002B36C7">
        <w:rPr>
          <w:rFonts w:ascii="Times New Roman" w:hAnsi="Times New Roman" w:cs="Times New Roman"/>
          <w:b/>
          <w:bCs/>
        </w:rPr>
        <w:t xml:space="preserve">will, in fact, result </w:t>
      </w:r>
      <w:r w:rsidR="00B42BD0" w:rsidRPr="004536AA">
        <w:rPr>
          <w:rFonts w:ascii="Times New Roman" w:hAnsi="Times New Roman" w:cs="Times New Roman"/>
          <w:b/>
          <w:bCs/>
        </w:rPr>
        <w:t>in the barriers being</w:t>
      </w:r>
      <w:r w:rsidR="00D94BB6" w:rsidRPr="004536AA">
        <w:rPr>
          <w:rFonts w:ascii="Times New Roman" w:hAnsi="Times New Roman" w:cs="Times New Roman"/>
          <w:b/>
          <w:bCs/>
        </w:rPr>
        <w:t xml:space="preserve"> effectively addressed. </w:t>
      </w:r>
      <w:r w:rsidR="002B36C7">
        <w:rPr>
          <w:rFonts w:ascii="Times New Roman" w:hAnsi="Times New Roman" w:cs="Times New Roman"/>
          <w:b/>
          <w:bCs/>
        </w:rPr>
        <w:t xml:space="preserve"> </w:t>
      </w:r>
      <w:r w:rsidR="00EB7755" w:rsidRPr="004536AA">
        <w:rPr>
          <w:rFonts w:ascii="Times New Roman" w:hAnsi="Times New Roman" w:cs="Times New Roman"/>
          <w:bCs/>
        </w:rPr>
        <w:t>The enabling environment—a country’s institutional, policy, legal, and regulatory framework—is critical to the success of low carbon development initiatives.</w:t>
      </w:r>
      <w:r w:rsidR="00EB7755" w:rsidRPr="004536AA">
        <w:rPr>
          <w:rFonts w:ascii="Times New Roman" w:hAnsi="Times New Roman" w:cs="Times New Roman"/>
          <w:b/>
          <w:bCs/>
        </w:rPr>
        <w:t xml:space="preserve"> </w:t>
      </w:r>
      <w:r w:rsidR="009F35FB" w:rsidRPr="004536AA">
        <w:rPr>
          <w:rFonts w:ascii="Times New Roman" w:hAnsi="Times New Roman" w:cs="Times New Roman"/>
          <w:b/>
          <w:bCs/>
        </w:rPr>
        <w:t xml:space="preserve"> </w:t>
      </w:r>
      <w:r w:rsidR="009F35FB" w:rsidRPr="004536AA">
        <w:rPr>
          <w:rFonts w:ascii="Times New Roman" w:hAnsi="Times New Roman" w:cs="Times New Roman"/>
        </w:rPr>
        <w:t>All CTF investment plans include an assessment of the shortcomi</w:t>
      </w:r>
      <w:r w:rsidR="008318BF" w:rsidRPr="004536AA">
        <w:rPr>
          <w:rFonts w:ascii="Times New Roman" w:hAnsi="Times New Roman" w:cs="Times New Roman"/>
        </w:rPr>
        <w:t>ngs in the enabling environment</w:t>
      </w:r>
      <w:r w:rsidR="00B7071B" w:rsidRPr="004536AA">
        <w:rPr>
          <w:rFonts w:ascii="Times New Roman" w:hAnsi="Times New Roman" w:cs="Times New Roman"/>
        </w:rPr>
        <w:t xml:space="preserve"> and potential </w:t>
      </w:r>
      <w:r w:rsidR="008318BF" w:rsidRPr="004536AA">
        <w:rPr>
          <w:rFonts w:ascii="Times New Roman" w:hAnsi="Times New Roman" w:cs="Times New Roman"/>
        </w:rPr>
        <w:t xml:space="preserve">risks to a project’s </w:t>
      </w:r>
      <w:r w:rsidR="00B7071B" w:rsidRPr="004536AA">
        <w:rPr>
          <w:rFonts w:ascii="Times New Roman" w:hAnsi="Times New Roman" w:cs="Times New Roman"/>
        </w:rPr>
        <w:t xml:space="preserve">success. </w:t>
      </w:r>
    </w:p>
    <w:p w:rsidR="008318BF" w:rsidRPr="004536AA" w:rsidRDefault="008318BF" w:rsidP="00164C9C">
      <w:pPr>
        <w:jc w:val="both"/>
        <w:rPr>
          <w:rFonts w:ascii="Times New Roman" w:hAnsi="Times New Roman" w:cs="Times New Roman"/>
        </w:rPr>
      </w:pPr>
    </w:p>
    <w:p w:rsidR="005D346B" w:rsidRPr="004536AA" w:rsidRDefault="00B42BD0" w:rsidP="00164C9C">
      <w:pPr>
        <w:pStyle w:val="ListParagraph"/>
        <w:numPr>
          <w:ilvl w:val="0"/>
          <w:numId w:val="15"/>
        </w:numPr>
        <w:ind w:left="0" w:firstLine="0"/>
        <w:jc w:val="both"/>
        <w:rPr>
          <w:rFonts w:ascii="Times New Roman" w:hAnsi="Times New Roman" w:cs="Times New Roman"/>
          <w:b/>
        </w:rPr>
      </w:pPr>
      <w:r w:rsidRPr="004536AA">
        <w:rPr>
          <w:rFonts w:ascii="Times New Roman" w:hAnsi="Times New Roman" w:cs="Times New Roman"/>
        </w:rPr>
        <w:t>South Afr</w:t>
      </w:r>
      <w:r w:rsidR="00E05C5F" w:rsidRPr="004536AA">
        <w:rPr>
          <w:rFonts w:ascii="Times New Roman" w:hAnsi="Times New Roman" w:cs="Times New Roman"/>
        </w:rPr>
        <w:t xml:space="preserve">ica’s </w:t>
      </w:r>
      <w:r w:rsidRPr="004536AA">
        <w:rPr>
          <w:rFonts w:ascii="Times New Roman" w:hAnsi="Times New Roman" w:cs="Times New Roman"/>
        </w:rPr>
        <w:t xml:space="preserve">investment plan identified broad concerns about the enabling environment, such as the </w:t>
      </w:r>
      <w:r w:rsidR="00E05C5F" w:rsidRPr="004536AA">
        <w:rPr>
          <w:rFonts w:ascii="Times New Roman" w:hAnsi="Times New Roman" w:cs="Times New Roman"/>
        </w:rPr>
        <w:t xml:space="preserve">limited </w:t>
      </w:r>
      <w:r w:rsidRPr="004536AA">
        <w:rPr>
          <w:rFonts w:ascii="Times New Roman" w:hAnsi="Times New Roman" w:cs="Times New Roman"/>
        </w:rPr>
        <w:t>regulatory regime for both public and private</w:t>
      </w:r>
      <w:r w:rsidR="00E05C5F" w:rsidRPr="004536AA">
        <w:rPr>
          <w:rFonts w:ascii="Times New Roman" w:hAnsi="Times New Roman" w:cs="Times New Roman"/>
        </w:rPr>
        <w:t xml:space="preserve"> investments.  In addition, </w:t>
      </w:r>
      <w:r w:rsidRPr="004536AA">
        <w:rPr>
          <w:rFonts w:ascii="Times New Roman" w:hAnsi="Times New Roman" w:cs="Times New Roman"/>
        </w:rPr>
        <w:t>the investment plan highlighted the risks for each specific technology and program. For renewable energy, for example, the risks include the lack of grid integration, the technology risk associated with technologies that have little or no commercial track record, and the absence of any precedent for bankable purchase power agreements.</w:t>
      </w:r>
      <w:r w:rsidR="00E05C5F" w:rsidRPr="004536AA">
        <w:rPr>
          <w:rFonts w:ascii="Times New Roman" w:hAnsi="Times New Roman" w:cs="Times New Roman"/>
        </w:rPr>
        <w:t xml:space="preserve">  The investment plans indicate that CTF will address these barriers, but no strategy is detailed.  Whether the shortcomings were sufficiently addressed will not be clear until </w:t>
      </w:r>
      <w:r w:rsidR="00A22D90" w:rsidRPr="004536AA">
        <w:rPr>
          <w:rFonts w:ascii="Times New Roman" w:hAnsi="Times New Roman" w:cs="Times New Roman"/>
        </w:rPr>
        <w:t xml:space="preserve">the </w:t>
      </w:r>
      <w:r w:rsidR="00E05C5F" w:rsidRPr="004536AA">
        <w:rPr>
          <w:rFonts w:ascii="Times New Roman" w:hAnsi="Times New Roman" w:cs="Times New Roman"/>
        </w:rPr>
        <w:t>project</w:t>
      </w:r>
      <w:r w:rsidR="00A22D90" w:rsidRPr="004536AA">
        <w:rPr>
          <w:rFonts w:ascii="Times New Roman" w:hAnsi="Times New Roman" w:cs="Times New Roman"/>
        </w:rPr>
        <w:t>s are submitted to the Trust Fund Committee for approval and then implemented</w:t>
      </w:r>
      <w:r w:rsidR="00E05C5F" w:rsidRPr="004536AA">
        <w:rPr>
          <w:rFonts w:ascii="Times New Roman" w:hAnsi="Times New Roman" w:cs="Times New Roman"/>
        </w:rPr>
        <w:t>.</w:t>
      </w:r>
    </w:p>
    <w:p w:rsidR="009F35FB" w:rsidRPr="004536AA" w:rsidRDefault="009F35FB" w:rsidP="00164C9C">
      <w:pPr>
        <w:jc w:val="both"/>
        <w:rPr>
          <w:rFonts w:ascii="Times New Roman" w:hAnsi="Times New Roman" w:cs="Times New Roman"/>
        </w:rPr>
      </w:pPr>
    </w:p>
    <w:p w:rsidR="00F05A33" w:rsidRPr="004536AA" w:rsidRDefault="006345ED" w:rsidP="00164C9C">
      <w:pPr>
        <w:pStyle w:val="ListParagraph"/>
        <w:numPr>
          <w:ilvl w:val="0"/>
          <w:numId w:val="15"/>
        </w:numPr>
        <w:ind w:left="0" w:firstLine="0"/>
        <w:jc w:val="both"/>
        <w:rPr>
          <w:rFonts w:ascii="Times New Roman" w:hAnsi="Times New Roman" w:cs="Times New Roman"/>
        </w:rPr>
      </w:pPr>
      <w:r w:rsidRPr="004536AA">
        <w:rPr>
          <w:rFonts w:ascii="Times New Roman" w:hAnsi="Times New Roman" w:cs="Times New Roman"/>
          <w:b/>
          <w:bCs/>
        </w:rPr>
        <w:t xml:space="preserve">Targeted MDB country assistance mechanisms can effectively complement CTF country programs. </w:t>
      </w:r>
      <w:r w:rsidRPr="004536AA">
        <w:rPr>
          <w:rFonts w:ascii="Times New Roman" w:hAnsi="Times New Roman" w:cs="Times New Roman"/>
          <w:bCs/>
        </w:rPr>
        <w:t xml:space="preserve">While CTF funds </w:t>
      </w:r>
      <w:r w:rsidR="00D94BB6" w:rsidRPr="004536AA">
        <w:rPr>
          <w:rFonts w:ascii="Times New Roman" w:hAnsi="Times New Roman" w:cs="Times New Roman"/>
          <w:bCs/>
        </w:rPr>
        <w:t xml:space="preserve">are used to </w:t>
      </w:r>
      <w:r w:rsidRPr="004536AA">
        <w:rPr>
          <w:rFonts w:ascii="Times New Roman" w:hAnsi="Times New Roman" w:cs="Times New Roman"/>
          <w:bCs/>
        </w:rPr>
        <w:t>address inve</w:t>
      </w:r>
      <w:r w:rsidR="009F7D80" w:rsidRPr="004536AA">
        <w:rPr>
          <w:rFonts w:ascii="Times New Roman" w:hAnsi="Times New Roman" w:cs="Times New Roman"/>
          <w:bCs/>
        </w:rPr>
        <w:t xml:space="preserve">stment priorities, </w:t>
      </w:r>
      <w:r w:rsidR="00D94BB6" w:rsidRPr="004536AA">
        <w:rPr>
          <w:rFonts w:ascii="Times New Roman" w:hAnsi="Times New Roman" w:cs="Times New Roman"/>
          <w:bCs/>
        </w:rPr>
        <w:t>maximizing the impact of the</w:t>
      </w:r>
      <w:r w:rsidR="0039776C" w:rsidRPr="004536AA">
        <w:rPr>
          <w:rFonts w:ascii="Times New Roman" w:hAnsi="Times New Roman" w:cs="Times New Roman"/>
          <w:bCs/>
        </w:rPr>
        <w:t>se investments hinges</w:t>
      </w:r>
      <w:r w:rsidR="00D94BB6" w:rsidRPr="004536AA">
        <w:rPr>
          <w:rFonts w:ascii="Times New Roman" w:hAnsi="Times New Roman" w:cs="Times New Roman"/>
          <w:bCs/>
        </w:rPr>
        <w:t xml:space="preserve"> </w:t>
      </w:r>
      <w:r w:rsidR="0039776C" w:rsidRPr="004536AA">
        <w:rPr>
          <w:rFonts w:ascii="Times New Roman" w:hAnsi="Times New Roman" w:cs="Times New Roman"/>
          <w:bCs/>
        </w:rPr>
        <w:t>on a favorable enabling environment</w:t>
      </w:r>
      <w:r w:rsidR="00D94BB6" w:rsidRPr="004536AA">
        <w:rPr>
          <w:rFonts w:ascii="Times New Roman" w:hAnsi="Times New Roman" w:cs="Times New Roman"/>
          <w:bCs/>
        </w:rPr>
        <w:t xml:space="preserve">.  </w:t>
      </w:r>
      <w:r w:rsidR="00D94BB6" w:rsidRPr="004536AA">
        <w:rPr>
          <w:rFonts w:ascii="Times New Roman" w:hAnsi="Times New Roman" w:cs="Times New Roman"/>
          <w:bCs/>
        </w:rPr>
        <w:lastRenderedPageBreak/>
        <w:t xml:space="preserve">MDB financial tools, such as </w:t>
      </w:r>
      <w:r w:rsidRPr="004536AA">
        <w:rPr>
          <w:rFonts w:ascii="Times New Roman" w:hAnsi="Times New Roman" w:cs="Times New Roman"/>
        </w:rPr>
        <w:t>World Bank Development Policy Loan</w:t>
      </w:r>
      <w:r w:rsidR="00D94BB6" w:rsidRPr="004536AA">
        <w:rPr>
          <w:rFonts w:ascii="Times New Roman" w:hAnsi="Times New Roman" w:cs="Times New Roman"/>
        </w:rPr>
        <w:t>s, can been used to</w:t>
      </w:r>
      <w:r w:rsidR="0054707E" w:rsidRPr="004536AA">
        <w:rPr>
          <w:rFonts w:ascii="Times New Roman" w:hAnsi="Times New Roman" w:cs="Times New Roman"/>
        </w:rPr>
        <w:t xml:space="preserve"> support a government’s policy and institutional changes.  Promoting synergies between CTF programs and other financing instruments can enable governments to create more dynamic environments for low carbon growth.  </w:t>
      </w:r>
    </w:p>
    <w:p w:rsidR="00F05A33" w:rsidRPr="004536AA" w:rsidRDefault="00F05A33" w:rsidP="00164C9C">
      <w:pPr>
        <w:pStyle w:val="ListParagraph"/>
        <w:jc w:val="both"/>
        <w:rPr>
          <w:rFonts w:ascii="Times New Roman" w:hAnsi="Times New Roman" w:cs="Times New Roman"/>
        </w:rPr>
      </w:pPr>
    </w:p>
    <w:p w:rsidR="007F457F" w:rsidRPr="004536AA" w:rsidRDefault="0054707E" w:rsidP="00164C9C">
      <w:pPr>
        <w:pStyle w:val="ListParagraph"/>
        <w:numPr>
          <w:ilvl w:val="0"/>
          <w:numId w:val="15"/>
        </w:numPr>
        <w:ind w:left="0" w:firstLine="0"/>
        <w:jc w:val="both"/>
        <w:rPr>
          <w:rFonts w:ascii="Times New Roman" w:hAnsi="Times New Roman" w:cs="Times New Roman"/>
          <w:b/>
          <w:bCs/>
          <w:i/>
        </w:rPr>
      </w:pPr>
      <w:r w:rsidRPr="004536AA">
        <w:rPr>
          <w:rFonts w:ascii="Times New Roman" w:hAnsi="Times New Roman" w:cs="Times New Roman"/>
        </w:rPr>
        <w:t xml:space="preserve">For example, </w:t>
      </w:r>
      <w:r w:rsidR="00F05A33" w:rsidRPr="004536AA">
        <w:rPr>
          <w:rFonts w:ascii="Times New Roman" w:hAnsi="Times New Roman" w:cs="Times New Roman"/>
        </w:rPr>
        <w:t xml:space="preserve">Mexico </w:t>
      </w:r>
      <w:r w:rsidR="006345ED" w:rsidRPr="004536AA">
        <w:rPr>
          <w:rFonts w:ascii="Times New Roman" w:hAnsi="Times New Roman" w:cs="Times New Roman"/>
        </w:rPr>
        <w:t>moved quickly to secure CTF financing for</w:t>
      </w:r>
      <w:r w:rsidRPr="004536AA">
        <w:rPr>
          <w:rFonts w:ascii="Times New Roman" w:hAnsi="Times New Roman" w:cs="Times New Roman"/>
        </w:rPr>
        <w:t xml:space="preserve"> its</w:t>
      </w:r>
      <w:r w:rsidR="00F05A33" w:rsidRPr="004536AA">
        <w:rPr>
          <w:rFonts w:ascii="Times New Roman" w:hAnsi="Times New Roman" w:cs="Times New Roman"/>
        </w:rPr>
        <w:t xml:space="preserve"> investment projects, </w:t>
      </w:r>
      <w:r w:rsidRPr="004536AA">
        <w:rPr>
          <w:rFonts w:ascii="Times New Roman" w:hAnsi="Times New Roman" w:cs="Times New Roman"/>
        </w:rPr>
        <w:t>but</w:t>
      </w:r>
      <w:r w:rsidR="006345ED" w:rsidRPr="004536AA">
        <w:rPr>
          <w:rFonts w:ascii="Times New Roman" w:hAnsi="Times New Roman" w:cs="Times New Roman"/>
        </w:rPr>
        <w:t xml:space="preserve"> </w:t>
      </w:r>
      <w:r w:rsidRPr="004536AA">
        <w:rPr>
          <w:rFonts w:ascii="Times New Roman" w:hAnsi="Times New Roman" w:cs="Times New Roman"/>
        </w:rPr>
        <w:t xml:space="preserve">their success depends on the establishment of </w:t>
      </w:r>
      <w:r w:rsidR="006345ED" w:rsidRPr="004536AA">
        <w:rPr>
          <w:rFonts w:ascii="Times New Roman" w:hAnsi="Times New Roman" w:cs="Times New Roman"/>
        </w:rPr>
        <w:t>broader policy frameworks</w:t>
      </w:r>
      <w:r w:rsidRPr="004536AA">
        <w:rPr>
          <w:rFonts w:ascii="Times New Roman" w:hAnsi="Times New Roman" w:cs="Times New Roman"/>
        </w:rPr>
        <w:t xml:space="preserve"> and institutional adjustments</w:t>
      </w:r>
      <w:r w:rsidR="00F05A33" w:rsidRPr="004536AA">
        <w:rPr>
          <w:rFonts w:ascii="Times New Roman" w:hAnsi="Times New Roman" w:cs="Times New Roman"/>
        </w:rPr>
        <w:t>.  Mexico</w:t>
      </w:r>
      <w:r w:rsidR="006345ED" w:rsidRPr="004536AA">
        <w:rPr>
          <w:rFonts w:ascii="Times New Roman" w:hAnsi="Times New Roman" w:cs="Times New Roman"/>
        </w:rPr>
        <w:t xml:space="preserve"> </w:t>
      </w:r>
      <w:r w:rsidRPr="004536AA">
        <w:rPr>
          <w:rFonts w:ascii="Times New Roman" w:hAnsi="Times New Roman" w:cs="Times New Roman"/>
        </w:rPr>
        <w:t>is using</w:t>
      </w:r>
      <w:r w:rsidR="006345ED" w:rsidRPr="004536AA">
        <w:rPr>
          <w:rFonts w:ascii="Times New Roman" w:hAnsi="Times New Roman" w:cs="Times New Roman"/>
        </w:rPr>
        <w:t xml:space="preserve"> </w:t>
      </w:r>
      <w:r w:rsidR="00F05A33" w:rsidRPr="004536AA">
        <w:rPr>
          <w:rFonts w:ascii="Times New Roman" w:hAnsi="Times New Roman" w:cs="Times New Roman"/>
        </w:rPr>
        <w:t xml:space="preserve">a </w:t>
      </w:r>
      <w:r w:rsidR="006345ED" w:rsidRPr="004536AA">
        <w:rPr>
          <w:rFonts w:ascii="Times New Roman" w:hAnsi="Times New Roman" w:cs="Times New Roman"/>
        </w:rPr>
        <w:t>Development Pol</w:t>
      </w:r>
      <w:r w:rsidR="00F05A33" w:rsidRPr="004536AA">
        <w:rPr>
          <w:rFonts w:ascii="Times New Roman" w:hAnsi="Times New Roman" w:cs="Times New Roman"/>
        </w:rPr>
        <w:t>icy Loan to deal w</w:t>
      </w:r>
      <w:r w:rsidRPr="004536AA">
        <w:rPr>
          <w:rFonts w:ascii="Times New Roman" w:hAnsi="Times New Roman" w:cs="Times New Roman"/>
        </w:rPr>
        <w:t>ith such fundamental issues.  This</w:t>
      </w:r>
      <w:r w:rsidR="00B7071B" w:rsidRPr="004536AA">
        <w:rPr>
          <w:rFonts w:ascii="Times New Roman" w:hAnsi="Times New Roman" w:cs="Times New Roman"/>
        </w:rPr>
        <w:t xml:space="preserve"> c</w:t>
      </w:r>
      <w:r w:rsidR="006345ED" w:rsidRPr="004536AA">
        <w:rPr>
          <w:rFonts w:ascii="Times New Roman" w:hAnsi="Times New Roman" w:cs="Times New Roman"/>
        </w:rPr>
        <w:t>omplemen</w:t>
      </w:r>
      <w:r w:rsidR="00417DC5" w:rsidRPr="004536AA">
        <w:rPr>
          <w:rFonts w:ascii="Times New Roman" w:hAnsi="Times New Roman" w:cs="Times New Roman"/>
        </w:rPr>
        <w:t>tary mechanism</w:t>
      </w:r>
      <w:r w:rsidRPr="004536AA">
        <w:rPr>
          <w:rFonts w:ascii="Times New Roman" w:hAnsi="Times New Roman" w:cs="Times New Roman"/>
        </w:rPr>
        <w:t xml:space="preserve"> is </w:t>
      </w:r>
      <w:r w:rsidR="005D346B" w:rsidRPr="004536AA">
        <w:rPr>
          <w:rFonts w:ascii="Times New Roman" w:hAnsi="Times New Roman" w:cs="Times New Roman"/>
        </w:rPr>
        <w:t xml:space="preserve">strategically </w:t>
      </w:r>
      <w:r w:rsidR="00042B06" w:rsidRPr="004536AA">
        <w:rPr>
          <w:rFonts w:ascii="Times New Roman" w:hAnsi="Times New Roman" w:cs="Times New Roman"/>
        </w:rPr>
        <w:t xml:space="preserve">important to the long-term effectiveness of CTF </w:t>
      </w:r>
      <w:r w:rsidRPr="004536AA">
        <w:rPr>
          <w:rFonts w:ascii="Times New Roman" w:hAnsi="Times New Roman" w:cs="Times New Roman"/>
        </w:rPr>
        <w:t>programs</w:t>
      </w:r>
      <w:r w:rsidR="00417DC5" w:rsidRPr="004536AA">
        <w:rPr>
          <w:rFonts w:ascii="Times New Roman" w:hAnsi="Times New Roman" w:cs="Times New Roman"/>
        </w:rPr>
        <w:t>.</w:t>
      </w:r>
      <w:r w:rsidRPr="004536AA">
        <w:rPr>
          <w:rFonts w:ascii="Times New Roman" w:hAnsi="Times New Roman" w:cs="Times New Roman"/>
        </w:rPr>
        <w:t xml:space="preserve"> </w:t>
      </w:r>
    </w:p>
    <w:p w:rsidR="00417DC5" w:rsidRPr="004536AA" w:rsidRDefault="00417DC5" w:rsidP="00164C9C">
      <w:pPr>
        <w:jc w:val="both"/>
        <w:rPr>
          <w:rFonts w:ascii="Times New Roman" w:hAnsi="Times New Roman" w:cs="Times New Roman"/>
          <w:b/>
          <w:bCs/>
          <w:i/>
        </w:rPr>
      </w:pPr>
    </w:p>
    <w:p w:rsidR="000740C3" w:rsidRPr="004536AA" w:rsidRDefault="00EB7755" w:rsidP="00164C9C">
      <w:pPr>
        <w:jc w:val="both"/>
        <w:rPr>
          <w:rFonts w:ascii="Times New Roman" w:hAnsi="Times New Roman" w:cs="Times New Roman"/>
          <w:i/>
        </w:rPr>
      </w:pPr>
      <w:r w:rsidRPr="004536AA">
        <w:rPr>
          <w:rFonts w:ascii="Times New Roman" w:hAnsi="Times New Roman" w:cs="Times New Roman"/>
          <w:b/>
          <w:bCs/>
          <w:i/>
        </w:rPr>
        <w:t>Leverag</w:t>
      </w:r>
      <w:r w:rsidR="000740C3" w:rsidRPr="004536AA">
        <w:rPr>
          <w:rFonts w:ascii="Times New Roman" w:hAnsi="Times New Roman" w:cs="Times New Roman"/>
          <w:b/>
          <w:bCs/>
          <w:i/>
        </w:rPr>
        <w:t>ing Additional Funds</w:t>
      </w:r>
      <w:r w:rsidR="007B4367" w:rsidRPr="004536AA">
        <w:rPr>
          <w:rFonts w:ascii="Times New Roman" w:hAnsi="Times New Roman" w:cs="Times New Roman"/>
          <w:i/>
        </w:rPr>
        <w:t xml:space="preserve">  </w:t>
      </w:r>
    </w:p>
    <w:p w:rsidR="000740C3" w:rsidRPr="004536AA" w:rsidRDefault="000740C3" w:rsidP="00164C9C">
      <w:pPr>
        <w:pStyle w:val="ListParagraph"/>
        <w:ind w:left="0"/>
        <w:jc w:val="both"/>
        <w:rPr>
          <w:rFonts w:ascii="Times New Roman" w:hAnsi="Times New Roman" w:cs="Times New Roman"/>
        </w:rPr>
      </w:pPr>
    </w:p>
    <w:p w:rsidR="00CC381A" w:rsidRPr="001B2808" w:rsidRDefault="000740C3" w:rsidP="00164C9C">
      <w:pPr>
        <w:pStyle w:val="ListParagraph"/>
        <w:numPr>
          <w:ilvl w:val="0"/>
          <w:numId w:val="15"/>
        </w:numPr>
        <w:ind w:left="0" w:firstLine="0"/>
        <w:jc w:val="both"/>
        <w:rPr>
          <w:rFonts w:ascii="Times New Roman" w:hAnsi="Times New Roman" w:cs="Times New Roman"/>
        </w:rPr>
      </w:pPr>
      <w:r w:rsidRPr="004536AA">
        <w:rPr>
          <w:rFonts w:ascii="Times New Roman" w:hAnsi="Times New Roman" w:cs="Times New Roman"/>
          <w:b/>
        </w:rPr>
        <w:t xml:space="preserve">The CTF’s expected </w:t>
      </w:r>
      <w:r w:rsidR="00D33390" w:rsidRPr="004536AA">
        <w:rPr>
          <w:rFonts w:ascii="Times New Roman" w:hAnsi="Times New Roman" w:cs="Times New Roman"/>
          <w:b/>
        </w:rPr>
        <w:t xml:space="preserve">1:8 </w:t>
      </w:r>
      <w:r w:rsidRPr="004536AA">
        <w:rPr>
          <w:rFonts w:ascii="Times New Roman" w:hAnsi="Times New Roman" w:cs="Times New Roman"/>
          <w:b/>
        </w:rPr>
        <w:t>leveraging</w:t>
      </w:r>
      <w:r w:rsidR="00EB7755" w:rsidRPr="004536AA">
        <w:rPr>
          <w:rFonts w:ascii="Times New Roman" w:hAnsi="Times New Roman" w:cs="Times New Roman"/>
          <w:b/>
        </w:rPr>
        <w:t xml:space="preserve"> effect</w:t>
      </w:r>
      <w:r w:rsidRPr="004536AA">
        <w:rPr>
          <w:rFonts w:ascii="Times New Roman" w:hAnsi="Times New Roman" w:cs="Times New Roman"/>
          <w:b/>
        </w:rPr>
        <w:t xml:space="preserve"> is seen as a good indication</w:t>
      </w:r>
      <w:r w:rsidR="00CB5365" w:rsidRPr="004536AA">
        <w:rPr>
          <w:rFonts w:ascii="Times New Roman" w:hAnsi="Times New Roman" w:cs="Times New Roman"/>
          <w:b/>
        </w:rPr>
        <w:t xml:space="preserve"> that the market is interested in</w:t>
      </w:r>
      <w:r w:rsidRPr="004536AA">
        <w:rPr>
          <w:rFonts w:ascii="Times New Roman" w:hAnsi="Times New Roman" w:cs="Times New Roman"/>
          <w:b/>
        </w:rPr>
        <w:t xml:space="preserve"> the CTF business offering.  </w:t>
      </w:r>
      <w:r w:rsidR="00CC381A" w:rsidRPr="004536AA">
        <w:rPr>
          <w:rFonts w:ascii="Times New Roman" w:hAnsi="Times New Roman" w:cs="Times New Roman"/>
        </w:rPr>
        <w:t>O</w:t>
      </w:r>
      <w:r w:rsidR="00EB7755" w:rsidRPr="004536AA">
        <w:rPr>
          <w:rFonts w:ascii="Times New Roman" w:hAnsi="Times New Roman" w:cs="Times New Roman"/>
        </w:rPr>
        <w:t xml:space="preserve">n average, every $1 </w:t>
      </w:r>
      <w:r w:rsidR="00CC381A" w:rsidRPr="004536AA">
        <w:rPr>
          <w:rFonts w:ascii="Times New Roman" w:hAnsi="Times New Roman" w:cs="Times New Roman"/>
        </w:rPr>
        <w:t xml:space="preserve">from </w:t>
      </w:r>
      <w:r w:rsidR="00EB7755" w:rsidRPr="004536AA">
        <w:rPr>
          <w:rFonts w:ascii="Times New Roman" w:hAnsi="Times New Roman" w:cs="Times New Roman"/>
        </w:rPr>
        <w:t xml:space="preserve">CTF is </w:t>
      </w:r>
      <w:r w:rsidR="006979E3" w:rsidRPr="004536AA">
        <w:rPr>
          <w:rFonts w:ascii="Times New Roman" w:hAnsi="Times New Roman" w:cs="Times New Roman"/>
        </w:rPr>
        <w:t>expected to leverage $8 from other</w:t>
      </w:r>
      <w:r w:rsidR="00EB7755" w:rsidRPr="004536AA">
        <w:rPr>
          <w:rFonts w:ascii="Times New Roman" w:hAnsi="Times New Roman" w:cs="Times New Roman"/>
        </w:rPr>
        <w:t xml:space="preserve"> sources (</w:t>
      </w:r>
      <w:r w:rsidR="00CC381A" w:rsidRPr="004536AA">
        <w:rPr>
          <w:rFonts w:ascii="Times New Roman" w:hAnsi="Times New Roman" w:cs="Times New Roman"/>
        </w:rPr>
        <w:t xml:space="preserve">MDBs, </w:t>
      </w:r>
      <w:r w:rsidR="00EB7755" w:rsidRPr="004536AA">
        <w:rPr>
          <w:rFonts w:ascii="Times New Roman" w:hAnsi="Times New Roman" w:cs="Times New Roman"/>
        </w:rPr>
        <w:t>national governments, bilaterals, and the private sector)</w:t>
      </w:r>
      <w:r w:rsidR="006979E3" w:rsidRPr="004536AA">
        <w:rPr>
          <w:rFonts w:ascii="Times New Roman" w:hAnsi="Times New Roman" w:cs="Times New Roman"/>
        </w:rPr>
        <w:t>, including</w:t>
      </w:r>
      <w:r w:rsidR="00EB7755" w:rsidRPr="004536AA">
        <w:rPr>
          <w:rFonts w:ascii="Times New Roman" w:hAnsi="Times New Roman" w:cs="Times New Roman"/>
        </w:rPr>
        <w:t xml:space="preserve"> $3 </w:t>
      </w:r>
      <w:r w:rsidR="00CC381A" w:rsidRPr="004536AA">
        <w:rPr>
          <w:rFonts w:ascii="Times New Roman" w:hAnsi="Times New Roman" w:cs="Times New Roman"/>
        </w:rPr>
        <w:t xml:space="preserve">coming </w:t>
      </w:r>
      <w:r w:rsidR="007C5054" w:rsidRPr="004536AA">
        <w:rPr>
          <w:rFonts w:ascii="Times New Roman" w:hAnsi="Times New Roman" w:cs="Times New Roman"/>
        </w:rPr>
        <w:t xml:space="preserve">from the private sector. </w:t>
      </w:r>
      <w:r w:rsidR="00CC381A" w:rsidRPr="004536AA">
        <w:rPr>
          <w:rFonts w:ascii="Times New Roman" w:hAnsi="Times New Roman" w:cs="Times New Roman"/>
        </w:rPr>
        <w:t xml:space="preserve">For </w:t>
      </w:r>
      <w:r w:rsidR="00060949" w:rsidRPr="004536AA">
        <w:rPr>
          <w:rFonts w:ascii="Times New Roman" w:hAnsi="Times New Roman" w:cs="Times New Roman"/>
        </w:rPr>
        <w:t xml:space="preserve">one of </w:t>
      </w:r>
      <w:r w:rsidR="00CC381A" w:rsidRPr="004536AA">
        <w:rPr>
          <w:rFonts w:ascii="Times New Roman" w:hAnsi="Times New Roman" w:cs="Times New Roman"/>
        </w:rPr>
        <w:t>Mexico’s wind project</w:t>
      </w:r>
      <w:r w:rsidR="00060949" w:rsidRPr="004536AA">
        <w:rPr>
          <w:rFonts w:ascii="Times New Roman" w:hAnsi="Times New Roman" w:cs="Times New Roman"/>
        </w:rPr>
        <w:t>s</w:t>
      </w:r>
      <w:r w:rsidR="00CC381A" w:rsidRPr="004536AA">
        <w:rPr>
          <w:rFonts w:ascii="Times New Roman" w:hAnsi="Times New Roman" w:cs="Times New Roman"/>
        </w:rPr>
        <w:t>, the $15 million CTF</w:t>
      </w:r>
      <w:r w:rsidR="00060949" w:rsidRPr="004536AA">
        <w:rPr>
          <w:rFonts w:ascii="Times New Roman" w:hAnsi="Times New Roman" w:cs="Times New Roman"/>
        </w:rPr>
        <w:t xml:space="preserve"> funding is leveraging about $46</w:t>
      </w:r>
      <w:r w:rsidR="00CC381A" w:rsidRPr="004536AA">
        <w:rPr>
          <w:rFonts w:ascii="Times New Roman" w:hAnsi="Times New Roman" w:cs="Times New Roman"/>
        </w:rPr>
        <w:t xml:space="preserve"> million from IF</w:t>
      </w:r>
      <w:r w:rsidR="00060949" w:rsidRPr="004536AA">
        <w:rPr>
          <w:rFonts w:ascii="Times New Roman" w:hAnsi="Times New Roman" w:cs="Times New Roman"/>
        </w:rPr>
        <w:t>C and IDB, and an additional $134</w:t>
      </w:r>
      <w:r w:rsidR="00CC381A" w:rsidRPr="004536AA">
        <w:rPr>
          <w:rFonts w:ascii="Times New Roman" w:hAnsi="Times New Roman" w:cs="Times New Roman"/>
        </w:rPr>
        <w:t xml:space="preserve"> million from other agencies and the private sector.  </w:t>
      </w:r>
      <w:r w:rsidR="00060949" w:rsidRPr="004536AA">
        <w:rPr>
          <w:rFonts w:ascii="Times New Roman" w:hAnsi="Times New Roman" w:cs="Times New Roman"/>
        </w:rPr>
        <w:t xml:space="preserve">In Turkey, the $50 million CTF funding for the Turkey Sustainable Energy Financing Facility is expected to leverage $320 million from EBRD and other partners.  </w:t>
      </w:r>
    </w:p>
    <w:p w:rsidR="00E05C5F" w:rsidRDefault="00E05C5F" w:rsidP="00164C9C">
      <w:pPr>
        <w:jc w:val="both"/>
        <w:rPr>
          <w:rFonts w:ascii="Times New Roman" w:hAnsi="Times New Roman" w:cs="Times New Roman"/>
          <w:b/>
          <w:bCs/>
          <w:sz w:val="28"/>
          <w:szCs w:val="28"/>
        </w:rPr>
      </w:pPr>
    </w:p>
    <w:p w:rsidR="001B2808" w:rsidRPr="004536AA" w:rsidRDefault="001B2808" w:rsidP="00164C9C">
      <w:pPr>
        <w:jc w:val="both"/>
        <w:rPr>
          <w:rFonts w:ascii="Times New Roman" w:hAnsi="Times New Roman" w:cs="Times New Roman"/>
          <w:b/>
          <w:bCs/>
          <w:sz w:val="28"/>
          <w:szCs w:val="28"/>
        </w:rPr>
      </w:pPr>
    </w:p>
    <w:p w:rsidR="007152DC" w:rsidRPr="001B2808" w:rsidRDefault="00C60CB2" w:rsidP="00164C9C">
      <w:pPr>
        <w:jc w:val="both"/>
        <w:rPr>
          <w:rFonts w:ascii="Times New Roman" w:hAnsi="Times New Roman" w:cs="Times New Roman"/>
          <w:b/>
          <w:bCs/>
        </w:rPr>
      </w:pPr>
      <w:r w:rsidRPr="001B2808">
        <w:rPr>
          <w:rFonts w:ascii="Times New Roman" w:hAnsi="Times New Roman" w:cs="Times New Roman"/>
          <w:b/>
          <w:bCs/>
        </w:rPr>
        <w:t xml:space="preserve">MDB </w:t>
      </w:r>
      <w:r w:rsidR="00EB7755" w:rsidRPr="001B2808">
        <w:rPr>
          <w:rFonts w:ascii="Times New Roman" w:hAnsi="Times New Roman" w:cs="Times New Roman"/>
          <w:b/>
          <w:bCs/>
        </w:rPr>
        <w:t>Collaboration</w:t>
      </w:r>
    </w:p>
    <w:p w:rsidR="00650E2A" w:rsidRPr="004536AA" w:rsidRDefault="00650E2A" w:rsidP="00164C9C">
      <w:pPr>
        <w:jc w:val="both"/>
        <w:rPr>
          <w:rFonts w:ascii="Times New Roman" w:hAnsi="Times New Roman" w:cs="Times New Roman"/>
          <w:b/>
          <w:bCs/>
          <w:sz w:val="28"/>
          <w:szCs w:val="28"/>
        </w:rPr>
      </w:pPr>
    </w:p>
    <w:p w:rsidR="00EB7755" w:rsidRPr="004536AA" w:rsidRDefault="007152DC" w:rsidP="00164C9C">
      <w:pPr>
        <w:pStyle w:val="ListParagraph"/>
        <w:numPr>
          <w:ilvl w:val="0"/>
          <w:numId w:val="15"/>
        </w:numPr>
        <w:ind w:left="0" w:firstLine="0"/>
        <w:jc w:val="both"/>
        <w:rPr>
          <w:rFonts w:ascii="Times New Roman" w:hAnsi="Times New Roman" w:cs="Times New Roman"/>
          <w:b/>
          <w:bCs/>
          <w:i/>
          <w:iCs/>
        </w:rPr>
      </w:pPr>
      <w:r w:rsidRPr="004536AA">
        <w:rPr>
          <w:rFonts w:ascii="Times New Roman" w:hAnsi="Times New Roman" w:cs="Times New Roman"/>
          <w:bCs/>
        </w:rPr>
        <w:t xml:space="preserve">The MDBs are integral to the </w:t>
      </w:r>
      <w:r w:rsidR="00BE215F" w:rsidRPr="004536AA">
        <w:rPr>
          <w:rFonts w:ascii="Times New Roman" w:hAnsi="Times New Roman" w:cs="Times New Roman"/>
          <w:bCs/>
        </w:rPr>
        <w:t>unique CTF partnership</w:t>
      </w:r>
      <w:r w:rsidRPr="004536AA">
        <w:rPr>
          <w:rFonts w:ascii="Times New Roman" w:hAnsi="Times New Roman" w:cs="Times New Roman"/>
          <w:bCs/>
        </w:rPr>
        <w:t>.</w:t>
      </w:r>
      <w:r w:rsidR="00A4747E" w:rsidRPr="004536AA">
        <w:rPr>
          <w:rFonts w:ascii="Times New Roman" w:hAnsi="Times New Roman" w:cs="Times New Roman"/>
          <w:bCs/>
        </w:rPr>
        <w:t xml:space="preserve">  Even though the MDBs do</w:t>
      </w:r>
      <w:r w:rsidRPr="004536AA">
        <w:rPr>
          <w:rFonts w:ascii="Times New Roman" w:hAnsi="Times New Roman" w:cs="Times New Roman"/>
          <w:bCs/>
        </w:rPr>
        <w:t xml:space="preserve"> not </w:t>
      </w:r>
      <w:r w:rsidR="005C71B7" w:rsidRPr="004536AA">
        <w:rPr>
          <w:rFonts w:ascii="Times New Roman" w:hAnsi="Times New Roman" w:cs="Times New Roman"/>
          <w:bCs/>
        </w:rPr>
        <w:t>have a long history of working together</w:t>
      </w:r>
      <w:r w:rsidRPr="004536AA">
        <w:rPr>
          <w:rFonts w:ascii="Times New Roman" w:hAnsi="Times New Roman" w:cs="Times New Roman"/>
          <w:bCs/>
        </w:rPr>
        <w:t>, they</w:t>
      </w:r>
      <w:r w:rsidR="005C71B7" w:rsidRPr="004536AA">
        <w:rPr>
          <w:rFonts w:ascii="Times New Roman" w:hAnsi="Times New Roman" w:cs="Times New Roman"/>
          <w:bCs/>
        </w:rPr>
        <w:t xml:space="preserve"> have developed solid </w:t>
      </w:r>
      <w:r w:rsidRPr="004536AA">
        <w:rPr>
          <w:rFonts w:ascii="Times New Roman" w:hAnsi="Times New Roman" w:cs="Times New Roman"/>
          <w:bCs/>
        </w:rPr>
        <w:t xml:space="preserve">partnerships to </w:t>
      </w:r>
      <w:r w:rsidR="005C71B7" w:rsidRPr="004536AA">
        <w:rPr>
          <w:rFonts w:ascii="Times New Roman" w:hAnsi="Times New Roman" w:cs="Times New Roman"/>
          <w:bCs/>
        </w:rPr>
        <w:t>support country</w:t>
      </w:r>
      <w:r w:rsidRPr="004536AA">
        <w:rPr>
          <w:rFonts w:ascii="Times New Roman" w:hAnsi="Times New Roman" w:cs="Times New Roman"/>
          <w:bCs/>
        </w:rPr>
        <w:t xml:space="preserve">-led CTF investment programs. </w:t>
      </w:r>
      <w:r w:rsidR="005C71B7" w:rsidRPr="004536AA">
        <w:rPr>
          <w:rFonts w:ascii="Times New Roman" w:hAnsi="Times New Roman" w:cs="Times New Roman"/>
          <w:bCs/>
        </w:rPr>
        <w:t xml:space="preserve"> The</w:t>
      </w:r>
      <w:r w:rsidR="00A4747E" w:rsidRPr="004536AA">
        <w:rPr>
          <w:rFonts w:ascii="Times New Roman" w:hAnsi="Times New Roman" w:cs="Times New Roman"/>
          <w:bCs/>
        </w:rPr>
        <w:t>se</w:t>
      </w:r>
      <w:r w:rsidR="005C71B7" w:rsidRPr="004536AA">
        <w:rPr>
          <w:rFonts w:ascii="Times New Roman" w:hAnsi="Times New Roman" w:cs="Times New Roman"/>
          <w:bCs/>
        </w:rPr>
        <w:t xml:space="preserve"> relationships build on each organization’s relative strengths and are growing </w:t>
      </w:r>
      <w:r w:rsidRPr="004536AA">
        <w:rPr>
          <w:rFonts w:ascii="Times New Roman" w:hAnsi="Times New Roman" w:cs="Times New Roman"/>
          <w:bCs/>
        </w:rPr>
        <w:t>as the CTF</w:t>
      </w:r>
      <w:r w:rsidR="005C71B7" w:rsidRPr="004536AA">
        <w:rPr>
          <w:rFonts w:ascii="Times New Roman" w:hAnsi="Times New Roman" w:cs="Times New Roman"/>
          <w:bCs/>
        </w:rPr>
        <w:t xml:space="preserve"> evolves.</w:t>
      </w:r>
    </w:p>
    <w:p w:rsidR="005C71B7" w:rsidRPr="004536AA" w:rsidRDefault="005C71B7" w:rsidP="00164C9C">
      <w:pPr>
        <w:pStyle w:val="ListParagraph"/>
        <w:jc w:val="both"/>
        <w:rPr>
          <w:rFonts w:ascii="Times New Roman" w:hAnsi="Times New Roman" w:cs="Times New Roman"/>
          <w:b/>
          <w:bCs/>
          <w:i/>
          <w:iCs/>
        </w:rPr>
      </w:pPr>
    </w:p>
    <w:p w:rsidR="00EB7755" w:rsidRPr="004536AA" w:rsidRDefault="00EB7755" w:rsidP="00164C9C">
      <w:pPr>
        <w:pStyle w:val="ListParagraph"/>
        <w:numPr>
          <w:ilvl w:val="0"/>
          <w:numId w:val="15"/>
        </w:numPr>
        <w:ind w:left="0" w:firstLine="0"/>
        <w:jc w:val="both"/>
        <w:rPr>
          <w:rFonts w:ascii="Times New Roman" w:hAnsi="Times New Roman" w:cs="Times New Roman"/>
          <w:b/>
          <w:bCs/>
          <w:i/>
          <w:iCs/>
        </w:rPr>
      </w:pPr>
      <w:r w:rsidRPr="004536AA">
        <w:rPr>
          <w:rFonts w:ascii="Times New Roman" w:hAnsi="Times New Roman" w:cs="Times New Roman"/>
          <w:b/>
          <w:bCs/>
        </w:rPr>
        <w:t>MDB roles in CTF investment plan</w:t>
      </w:r>
      <w:r w:rsidR="006979E3" w:rsidRPr="004536AA">
        <w:rPr>
          <w:rFonts w:ascii="Times New Roman" w:hAnsi="Times New Roman" w:cs="Times New Roman"/>
          <w:b/>
          <w:bCs/>
        </w:rPr>
        <w:t xml:space="preserve">ning should </w:t>
      </w:r>
      <w:r w:rsidR="004326AF" w:rsidRPr="004536AA">
        <w:rPr>
          <w:rFonts w:ascii="Times New Roman" w:hAnsi="Times New Roman" w:cs="Times New Roman"/>
          <w:b/>
          <w:bCs/>
        </w:rPr>
        <w:t xml:space="preserve">build on </w:t>
      </w:r>
      <w:r w:rsidRPr="004536AA">
        <w:rPr>
          <w:rFonts w:ascii="Times New Roman" w:hAnsi="Times New Roman" w:cs="Times New Roman"/>
          <w:b/>
          <w:bCs/>
        </w:rPr>
        <w:t xml:space="preserve">comparative advantages. </w:t>
      </w:r>
      <w:r w:rsidRPr="004536AA">
        <w:rPr>
          <w:rFonts w:ascii="Times New Roman" w:hAnsi="Times New Roman" w:cs="Times New Roman"/>
        </w:rPr>
        <w:t>The CTF requires the MDBs to jointly help pilot countries prepar</w:t>
      </w:r>
      <w:r w:rsidR="00A4747E" w:rsidRPr="004536AA">
        <w:rPr>
          <w:rFonts w:ascii="Times New Roman" w:hAnsi="Times New Roman" w:cs="Times New Roman"/>
        </w:rPr>
        <w:t xml:space="preserve">e their investment plans.  This </w:t>
      </w:r>
      <w:r w:rsidRPr="004536AA">
        <w:rPr>
          <w:rFonts w:ascii="Times New Roman" w:hAnsi="Times New Roman" w:cs="Times New Roman"/>
        </w:rPr>
        <w:t xml:space="preserve">has stimulated increased collaboration and consensus on the most advantageous </w:t>
      </w:r>
      <w:r w:rsidR="006E0E64" w:rsidRPr="004536AA">
        <w:rPr>
          <w:rFonts w:ascii="Times New Roman" w:hAnsi="Times New Roman" w:cs="Times New Roman"/>
        </w:rPr>
        <w:t xml:space="preserve">country </w:t>
      </w:r>
      <w:r w:rsidRPr="004536AA">
        <w:rPr>
          <w:rFonts w:ascii="Times New Roman" w:hAnsi="Times New Roman" w:cs="Times New Roman"/>
        </w:rPr>
        <w:t xml:space="preserve">investment strategies. Joint programming initiatives promote MDB capacity building, better communication and relations </w:t>
      </w:r>
      <w:r w:rsidR="006E0E64" w:rsidRPr="004536AA">
        <w:rPr>
          <w:rFonts w:ascii="Times New Roman" w:hAnsi="Times New Roman" w:cs="Times New Roman"/>
        </w:rPr>
        <w:t>between professional staffs, as well as</w:t>
      </w:r>
      <w:r w:rsidRPr="004536AA">
        <w:rPr>
          <w:rFonts w:ascii="Times New Roman" w:hAnsi="Times New Roman" w:cs="Times New Roman"/>
        </w:rPr>
        <w:t xml:space="preserve"> more strategic MDB joint assistance programs.</w:t>
      </w:r>
    </w:p>
    <w:p w:rsidR="00EB7755" w:rsidRPr="004536AA" w:rsidRDefault="00EB7755" w:rsidP="00164C9C">
      <w:pPr>
        <w:jc w:val="both"/>
        <w:rPr>
          <w:rFonts w:ascii="Times New Roman" w:hAnsi="Times New Roman" w:cs="Times New Roman"/>
          <w:b/>
          <w:bCs/>
          <w:i/>
          <w:iCs/>
        </w:rPr>
      </w:pPr>
    </w:p>
    <w:p w:rsidR="00EB7755" w:rsidRPr="004536AA" w:rsidRDefault="0052661E" w:rsidP="00164C9C">
      <w:pPr>
        <w:pStyle w:val="ListParagraph"/>
        <w:numPr>
          <w:ilvl w:val="0"/>
          <w:numId w:val="15"/>
        </w:numPr>
        <w:ind w:left="0" w:firstLine="0"/>
        <w:jc w:val="both"/>
        <w:rPr>
          <w:rFonts w:ascii="Times New Roman" w:hAnsi="Times New Roman" w:cs="Times New Roman"/>
        </w:rPr>
      </w:pPr>
      <w:r w:rsidRPr="004536AA">
        <w:rPr>
          <w:rFonts w:ascii="Times New Roman" w:hAnsi="Times New Roman" w:cs="Times New Roman"/>
        </w:rPr>
        <w:t>In general, b</w:t>
      </w:r>
      <w:r w:rsidR="00EB7755" w:rsidRPr="004536AA">
        <w:rPr>
          <w:rFonts w:ascii="Times New Roman" w:hAnsi="Times New Roman" w:cs="Times New Roman"/>
        </w:rPr>
        <w:t xml:space="preserve">efore the </w:t>
      </w:r>
      <w:r w:rsidRPr="004536AA">
        <w:rPr>
          <w:rFonts w:ascii="Times New Roman" w:hAnsi="Times New Roman" w:cs="Times New Roman"/>
        </w:rPr>
        <w:t>investment planning process begi</w:t>
      </w:r>
      <w:r w:rsidR="00EB7755" w:rsidRPr="004536AA">
        <w:rPr>
          <w:rFonts w:ascii="Times New Roman" w:hAnsi="Times New Roman" w:cs="Times New Roman"/>
        </w:rPr>
        <w:t>n</w:t>
      </w:r>
      <w:r w:rsidRPr="004536AA">
        <w:rPr>
          <w:rFonts w:ascii="Times New Roman" w:hAnsi="Times New Roman" w:cs="Times New Roman"/>
        </w:rPr>
        <w:t xml:space="preserve">s, </w:t>
      </w:r>
      <w:r w:rsidR="00BE215F" w:rsidRPr="004536AA">
        <w:rPr>
          <w:rFonts w:ascii="Times New Roman" w:hAnsi="Times New Roman" w:cs="Times New Roman"/>
        </w:rPr>
        <w:t xml:space="preserve">countries and </w:t>
      </w:r>
      <w:r w:rsidRPr="004536AA">
        <w:rPr>
          <w:rFonts w:ascii="Times New Roman" w:hAnsi="Times New Roman" w:cs="Times New Roman"/>
        </w:rPr>
        <w:t xml:space="preserve">the MDBs </w:t>
      </w:r>
      <w:r w:rsidR="00BE215F" w:rsidRPr="004536AA">
        <w:rPr>
          <w:rFonts w:ascii="Times New Roman" w:hAnsi="Times New Roman" w:cs="Times New Roman"/>
        </w:rPr>
        <w:t xml:space="preserve">agree on </w:t>
      </w:r>
      <w:r w:rsidR="00EB7755" w:rsidRPr="004536AA">
        <w:rPr>
          <w:rFonts w:ascii="Times New Roman" w:hAnsi="Times New Roman" w:cs="Times New Roman"/>
        </w:rPr>
        <w:t xml:space="preserve">which </w:t>
      </w:r>
      <w:r w:rsidR="00BE215F" w:rsidRPr="004536AA">
        <w:rPr>
          <w:rFonts w:ascii="Times New Roman" w:hAnsi="Times New Roman" w:cs="Times New Roman"/>
        </w:rPr>
        <w:t>multi</w:t>
      </w:r>
      <w:r w:rsidR="006E0E64" w:rsidRPr="004536AA">
        <w:rPr>
          <w:rFonts w:ascii="Times New Roman" w:hAnsi="Times New Roman" w:cs="Times New Roman"/>
        </w:rPr>
        <w:t xml:space="preserve">lateral </w:t>
      </w:r>
      <w:r w:rsidRPr="004536AA">
        <w:rPr>
          <w:rFonts w:ascii="Times New Roman" w:hAnsi="Times New Roman" w:cs="Times New Roman"/>
        </w:rPr>
        <w:t>organization will</w:t>
      </w:r>
      <w:r w:rsidR="00EB7755" w:rsidRPr="004536AA">
        <w:rPr>
          <w:rFonts w:ascii="Times New Roman" w:hAnsi="Times New Roman" w:cs="Times New Roman"/>
        </w:rPr>
        <w:t xml:space="preserve"> play a lead based on experien</w:t>
      </w:r>
      <w:r w:rsidR="007C5054" w:rsidRPr="004536AA">
        <w:rPr>
          <w:rFonts w:ascii="Times New Roman" w:hAnsi="Times New Roman" w:cs="Times New Roman"/>
        </w:rPr>
        <w:t xml:space="preserve">ce and comparative advantage. </w:t>
      </w:r>
      <w:r w:rsidRPr="004536AA">
        <w:rPr>
          <w:rFonts w:ascii="Times New Roman" w:hAnsi="Times New Roman" w:cs="Times New Roman"/>
        </w:rPr>
        <w:t>The MDBs also collaborate on projects for the investment plan pipelines.  For example,</w:t>
      </w:r>
      <w:r w:rsidR="00EB7755" w:rsidRPr="004536AA">
        <w:rPr>
          <w:rFonts w:ascii="Times New Roman" w:hAnsi="Times New Roman" w:cs="Times New Roman"/>
        </w:rPr>
        <w:t xml:space="preserve"> the Asian Development Bank and the World Bank Group are jointly promoting investments in geotherma</w:t>
      </w:r>
      <w:r w:rsidR="006E0E64" w:rsidRPr="004536AA">
        <w:rPr>
          <w:rFonts w:ascii="Times New Roman" w:hAnsi="Times New Roman" w:cs="Times New Roman"/>
        </w:rPr>
        <w:t>l power in Indonesia, rather than</w:t>
      </w:r>
      <w:r w:rsidR="00EB7755" w:rsidRPr="004536AA">
        <w:rPr>
          <w:rFonts w:ascii="Times New Roman" w:hAnsi="Times New Roman" w:cs="Times New Roman"/>
        </w:rPr>
        <w:t xml:space="preserve"> working independently.  Similarly, the African Development Bank and the World Bank Group are jointly co-fi</w:t>
      </w:r>
      <w:r w:rsidR="00BE215F" w:rsidRPr="004536AA">
        <w:rPr>
          <w:rFonts w:ascii="Times New Roman" w:hAnsi="Times New Roman" w:cs="Times New Roman"/>
        </w:rPr>
        <w:t xml:space="preserve">nancing CTF investment </w:t>
      </w:r>
      <w:r w:rsidR="00EB7755" w:rsidRPr="004536AA">
        <w:rPr>
          <w:rFonts w:ascii="Times New Roman" w:hAnsi="Times New Roman" w:cs="Times New Roman"/>
        </w:rPr>
        <w:t xml:space="preserve">projects in South Africa. </w:t>
      </w:r>
    </w:p>
    <w:p w:rsidR="004326AF" w:rsidRPr="004536AA" w:rsidRDefault="004326AF" w:rsidP="00164C9C">
      <w:pPr>
        <w:pStyle w:val="ListParagraph"/>
        <w:jc w:val="both"/>
        <w:rPr>
          <w:rFonts w:ascii="Times New Roman" w:hAnsi="Times New Roman" w:cs="Times New Roman"/>
        </w:rPr>
      </w:pPr>
    </w:p>
    <w:p w:rsidR="004326AF" w:rsidRPr="004536AA" w:rsidRDefault="004326AF" w:rsidP="00164C9C">
      <w:pPr>
        <w:pStyle w:val="ListParagraph"/>
        <w:numPr>
          <w:ilvl w:val="0"/>
          <w:numId w:val="15"/>
        </w:numPr>
        <w:ind w:left="0" w:firstLine="0"/>
        <w:jc w:val="both"/>
        <w:rPr>
          <w:rFonts w:ascii="Times New Roman" w:hAnsi="Times New Roman" w:cs="Times New Roman"/>
        </w:rPr>
      </w:pPr>
      <w:r w:rsidRPr="004536AA">
        <w:rPr>
          <w:rFonts w:ascii="Times New Roman" w:hAnsi="Times New Roman" w:cs="Times New Roman"/>
        </w:rPr>
        <w:lastRenderedPageBreak/>
        <w:t>Because of its size and scope of operation</w:t>
      </w:r>
      <w:r w:rsidR="00CB5365" w:rsidRPr="004536AA">
        <w:rPr>
          <w:rFonts w:ascii="Times New Roman" w:hAnsi="Times New Roman" w:cs="Times New Roman"/>
        </w:rPr>
        <w:t>s</w:t>
      </w:r>
      <w:r w:rsidRPr="004536AA">
        <w:rPr>
          <w:rFonts w:ascii="Times New Roman" w:hAnsi="Times New Roman" w:cs="Times New Roman"/>
        </w:rPr>
        <w:t>, the World Bank has, at times, been perceived as dominant</w:t>
      </w:r>
      <w:r w:rsidR="00CB5365" w:rsidRPr="004536AA">
        <w:rPr>
          <w:rFonts w:ascii="Times New Roman" w:hAnsi="Times New Roman" w:cs="Times New Roman"/>
        </w:rPr>
        <w:t xml:space="preserve"> in contrast to other MDBs.  </w:t>
      </w:r>
      <w:r w:rsidRPr="004536AA">
        <w:rPr>
          <w:rFonts w:ascii="Times New Roman" w:hAnsi="Times New Roman" w:cs="Times New Roman"/>
        </w:rPr>
        <w:t>MDB collaboration is a learning-by-doing process and the levels of cooperation among all MDBs are improving.</w:t>
      </w:r>
    </w:p>
    <w:p w:rsidR="00EB7755" w:rsidRPr="004536AA" w:rsidRDefault="00EB7755" w:rsidP="00164C9C">
      <w:pPr>
        <w:ind w:left="720"/>
        <w:jc w:val="both"/>
        <w:rPr>
          <w:rFonts w:ascii="Times New Roman" w:hAnsi="Times New Roman" w:cs="Times New Roman"/>
        </w:rPr>
      </w:pPr>
    </w:p>
    <w:p w:rsidR="00EB7755" w:rsidRPr="004536AA" w:rsidRDefault="00EB7755" w:rsidP="00164C9C">
      <w:pPr>
        <w:pStyle w:val="ListParagraph"/>
        <w:numPr>
          <w:ilvl w:val="0"/>
          <w:numId w:val="15"/>
        </w:numPr>
        <w:ind w:left="0" w:firstLine="0"/>
        <w:jc w:val="both"/>
        <w:rPr>
          <w:rFonts w:ascii="Times New Roman" w:hAnsi="Times New Roman" w:cs="Times New Roman"/>
        </w:rPr>
      </w:pPr>
      <w:r w:rsidRPr="004536AA">
        <w:rPr>
          <w:rFonts w:ascii="Times New Roman" w:hAnsi="Times New Roman" w:cs="Times New Roman"/>
          <w:b/>
          <w:bCs/>
        </w:rPr>
        <w:t xml:space="preserve">The MDBs can facilitate a strategic </w:t>
      </w:r>
      <w:r w:rsidR="00A4747E" w:rsidRPr="004536AA">
        <w:rPr>
          <w:rFonts w:ascii="Times New Roman" w:hAnsi="Times New Roman" w:cs="Times New Roman"/>
          <w:b/>
          <w:bCs/>
        </w:rPr>
        <w:t>dialogue</w:t>
      </w:r>
      <w:r w:rsidRPr="004536AA">
        <w:rPr>
          <w:rFonts w:ascii="Times New Roman" w:hAnsi="Times New Roman" w:cs="Times New Roman"/>
          <w:b/>
          <w:bCs/>
        </w:rPr>
        <w:t xml:space="preserve"> if there are gaps in donor assistance coordination. </w:t>
      </w:r>
      <w:r w:rsidRPr="004536AA">
        <w:rPr>
          <w:rFonts w:ascii="Times New Roman" w:hAnsi="Times New Roman" w:cs="Times New Roman"/>
        </w:rPr>
        <w:t xml:space="preserve">  The investment planning process has stimulated dialogue between the MDBs and bilateral agencies involved in specific sectors.  However, donor support must be actively coordinated to ensure a strategically unified approac</w:t>
      </w:r>
      <w:r w:rsidR="00A4747E" w:rsidRPr="004536AA">
        <w:rPr>
          <w:rFonts w:ascii="Times New Roman" w:hAnsi="Times New Roman" w:cs="Times New Roman"/>
        </w:rPr>
        <w:t xml:space="preserve">h.  In Indonesia, for example, </w:t>
      </w:r>
      <w:r w:rsidRPr="004536AA">
        <w:rPr>
          <w:rFonts w:ascii="Times New Roman" w:hAnsi="Times New Roman" w:cs="Times New Roman"/>
        </w:rPr>
        <w:t xml:space="preserve">technical assistance mobilized from </w:t>
      </w:r>
      <w:r w:rsidR="006E0E64" w:rsidRPr="004536AA">
        <w:rPr>
          <w:rFonts w:ascii="Times New Roman" w:hAnsi="Times New Roman" w:cs="Times New Roman"/>
        </w:rPr>
        <w:t xml:space="preserve">the German government’s </w:t>
      </w:r>
      <w:r w:rsidRPr="004536AA">
        <w:rPr>
          <w:rFonts w:ascii="Times New Roman" w:hAnsi="Times New Roman" w:cs="Times New Roman"/>
        </w:rPr>
        <w:t xml:space="preserve">KfW </w:t>
      </w:r>
      <w:r w:rsidR="00BE215F" w:rsidRPr="004536AA">
        <w:rPr>
          <w:rFonts w:ascii="Times New Roman" w:hAnsi="Times New Roman" w:cs="Times New Roman"/>
        </w:rPr>
        <w:t xml:space="preserve">and the Japan </w:t>
      </w:r>
      <w:r w:rsidR="006E0E64" w:rsidRPr="004536AA">
        <w:rPr>
          <w:rFonts w:ascii="Times New Roman" w:hAnsi="Times New Roman" w:cs="Times New Roman"/>
        </w:rPr>
        <w:t>International Cooperation</w:t>
      </w:r>
      <w:r w:rsidRPr="004536AA">
        <w:rPr>
          <w:rFonts w:ascii="Times New Roman" w:hAnsi="Times New Roman" w:cs="Times New Roman"/>
        </w:rPr>
        <w:t xml:space="preserve"> </w:t>
      </w:r>
      <w:r w:rsidR="00BE215F" w:rsidRPr="004536AA">
        <w:rPr>
          <w:rFonts w:ascii="Times New Roman" w:hAnsi="Times New Roman" w:cs="Times New Roman"/>
        </w:rPr>
        <w:t xml:space="preserve">Agency </w:t>
      </w:r>
      <w:r w:rsidRPr="004536AA">
        <w:rPr>
          <w:rFonts w:ascii="Times New Roman" w:hAnsi="Times New Roman" w:cs="Times New Roman"/>
        </w:rPr>
        <w:t xml:space="preserve">is helping the government identify options for the design of a risk mitigation fund that will be used to pre-finance geothermal exploration. </w:t>
      </w:r>
    </w:p>
    <w:p w:rsidR="007F457F" w:rsidRPr="004536AA" w:rsidRDefault="007F457F" w:rsidP="00164C9C">
      <w:pPr>
        <w:pStyle w:val="ListParagraph"/>
        <w:jc w:val="both"/>
        <w:rPr>
          <w:rFonts w:ascii="Times New Roman" w:hAnsi="Times New Roman" w:cs="Times New Roman"/>
        </w:rPr>
      </w:pPr>
    </w:p>
    <w:p w:rsidR="007F457F" w:rsidRPr="004536AA" w:rsidRDefault="007F457F" w:rsidP="00164C9C">
      <w:pPr>
        <w:pStyle w:val="ListParagraph"/>
        <w:numPr>
          <w:ilvl w:val="0"/>
          <w:numId w:val="15"/>
        </w:numPr>
        <w:ind w:left="0" w:firstLine="0"/>
        <w:jc w:val="both"/>
        <w:rPr>
          <w:rFonts w:ascii="Times New Roman" w:hAnsi="Times New Roman" w:cs="Times New Roman"/>
        </w:rPr>
      </w:pPr>
      <w:r w:rsidRPr="004536AA">
        <w:rPr>
          <w:rFonts w:ascii="Times New Roman" w:hAnsi="Times New Roman" w:cs="Times New Roman"/>
          <w:b/>
          <w:bCs/>
        </w:rPr>
        <w:t xml:space="preserve">MDB support needs to reflect the extent and complexity of their engagement with country institutions. </w:t>
      </w:r>
      <w:r w:rsidRPr="004536AA">
        <w:rPr>
          <w:rFonts w:ascii="Times New Roman" w:hAnsi="Times New Roman" w:cs="Times New Roman"/>
        </w:rPr>
        <w:t xml:space="preserve">The MDBs provide governments with technical assistance for the development of investment plans.  </w:t>
      </w:r>
      <w:r w:rsidRPr="004536AA">
        <w:rPr>
          <w:rFonts w:ascii="Times New Roman" w:hAnsi="Times New Roman" w:cs="Times New Roman"/>
          <w:b/>
          <w:bCs/>
        </w:rPr>
        <w:t xml:space="preserve"> </w:t>
      </w:r>
      <w:r w:rsidRPr="004536AA">
        <w:rPr>
          <w:rFonts w:ascii="Times New Roman" w:hAnsi="Times New Roman" w:cs="Times New Roman"/>
        </w:rPr>
        <w:t>Initially, this support was envisioned to include only two MDB country missions—one, to reach agreement on the scope and potential priorities for CTF resource allocations, and a second to discuss the completed first draft of the investment plan.  As CTF was operationalized, the comprehensive programmatic approach that was envisioned required more MDB staff interventions in some cases.  Additional activities, such as scoping missions and plan finalization, were necessary to provide the full support that governments required.  The initial norms for MDB support, funded thr</w:t>
      </w:r>
      <w:r w:rsidR="002B36C7">
        <w:rPr>
          <w:rFonts w:ascii="Times New Roman" w:hAnsi="Times New Roman" w:cs="Times New Roman"/>
        </w:rPr>
        <w:t>ough the CIF corporate and administrative</w:t>
      </w:r>
      <w:r w:rsidRPr="004536AA">
        <w:rPr>
          <w:rFonts w:ascii="Times New Roman" w:hAnsi="Times New Roman" w:cs="Times New Roman"/>
        </w:rPr>
        <w:t xml:space="preserve"> budget, were adjusted to reflect this reality. </w:t>
      </w:r>
    </w:p>
    <w:p w:rsidR="00EB7755" w:rsidRPr="004536AA" w:rsidRDefault="00EB7755" w:rsidP="00164C9C">
      <w:pPr>
        <w:jc w:val="both"/>
        <w:rPr>
          <w:rFonts w:ascii="Times New Roman" w:hAnsi="Times New Roman" w:cs="Times New Roman"/>
          <w:b/>
          <w:bCs/>
        </w:rPr>
      </w:pPr>
    </w:p>
    <w:p w:rsidR="00E05C5F" w:rsidRPr="001B2808" w:rsidRDefault="00EB7755" w:rsidP="00164C9C">
      <w:pPr>
        <w:jc w:val="both"/>
        <w:rPr>
          <w:rFonts w:ascii="Times New Roman" w:hAnsi="Times New Roman" w:cs="Times New Roman"/>
          <w:b/>
          <w:bCs/>
        </w:rPr>
      </w:pPr>
      <w:r w:rsidRPr="001B2808">
        <w:rPr>
          <w:rFonts w:ascii="Times New Roman" w:hAnsi="Times New Roman" w:cs="Times New Roman"/>
          <w:b/>
          <w:bCs/>
        </w:rPr>
        <w:t>Collaborati</w:t>
      </w:r>
      <w:r w:rsidR="00A4747E" w:rsidRPr="001B2808">
        <w:rPr>
          <w:rFonts w:ascii="Times New Roman" w:hAnsi="Times New Roman" w:cs="Times New Roman"/>
          <w:b/>
          <w:bCs/>
        </w:rPr>
        <w:t>on with the Private Sector and O</w:t>
      </w:r>
      <w:r w:rsidRPr="001B2808">
        <w:rPr>
          <w:rFonts w:ascii="Times New Roman" w:hAnsi="Times New Roman" w:cs="Times New Roman"/>
          <w:b/>
          <w:bCs/>
        </w:rPr>
        <w:t>ther Stakeholders</w:t>
      </w:r>
    </w:p>
    <w:p w:rsidR="00E05C5F" w:rsidRPr="004536AA" w:rsidRDefault="00E05C5F" w:rsidP="00164C9C">
      <w:pPr>
        <w:jc w:val="both"/>
        <w:rPr>
          <w:rFonts w:ascii="Times New Roman" w:hAnsi="Times New Roman" w:cs="Times New Roman"/>
          <w:b/>
          <w:bCs/>
          <w:sz w:val="28"/>
          <w:szCs w:val="28"/>
        </w:rPr>
      </w:pPr>
    </w:p>
    <w:p w:rsidR="005C71B7" w:rsidRPr="004536AA" w:rsidRDefault="005C71B7" w:rsidP="00164C9C">
      <w:pPr>
        <w:pStyle w:val="ListParagraph"/>
        <w:numPr>
          <w:ilvl w:val="0"/>
          <w:numId w:val="15"/>
        </w:numPr>
        <w:ind w:left="0" w:firstLine="0"/>
        <w:jc w:val="both"/>
        <w:rPr>
          <w:rFonts w:ascii="Times New Roman" w:hAnsi="Times New Roman" w:cs="Times New Roman"/>
          <w:bCs/>
        </w:rPr>
      </w:pPr>
      <w:r w:rsidRPr="004536AA">
        <w:rPr>
          <w:rFonts w:ascii="Times New Roman" w:hAnsi="Times New Roman" w:cs="Times New Roman"/>
          <w:bCs/>
        </w:rPr>
        <w:t xml:space="preserve">The engagement of diverse stakeholders strengthens the CTF and creates a momentum that attracts a broader range of development partners, including the private sector.  CTF’s programmatic approach can accommodate numerous interests, but </w:t>
      </w:r>
      <w:r w:rsidR="00051778" w:rsidRPr="004536AA">
        <w:rPr>
          <w:rFonts w:ascii="Times New Roman" w:hAnsi="Times New Roman" w:cs="Times New Roman"/>
          <w:bCs/>
        </w:rPr>
        <w:t>expanded partnerships must be nourished and require</w:t>
      </w:r>
      <w:r w:rsidR="006979E3" w:rsidRPr="004536AA">
        <w:rPr>
          <w:rFonts w:ascii="Times New Roman" w:hAnsi="Times New Roman" w:cs="Times New Roman"/>
          <w:bCs/>
        </w:rPr>
        <w:t xml:space="preserve"> pro</w:t>
      </w:r>
      <w:r w:rsidRPr="004536AA">
        <w:rPr>
          <w:rFonts w:ascii="Times New Roman" w:hAnsi="Times New Roman" w:cs="Times New Roman"/>
          <w:bCs/>
        </w:rPr>
        <w:t xml:space="preserve">active </w:t>
      </w:r>
      <w:r w:rsidR="00051778" w:rsidRPr="004536AA">
        <w:rPr>
          <w:rFonts w:ascii="Times New Roman" w:hAnsi="Times New Roman" w:cs="Times New Roman"/>
          <w:bCs/>
        </w:rPr>
        <w:t xml:space="preserve">and systematic outreach.  The private sector, especially, must be a critical partner in developing long-term, low carbon solutions. </w:t>
      </w:r>
    </w:p>
    <w:p w:rsidR="0051439A" w:rsidRPr="004536AA" w:rsidRDefault="0051439A" w:rsidP="00164C9C">
      <w:pPr>
        <w:jc w:val="both"/>
        <w:rPr>
          <w:rFonts w:ascii="Times New Roman" w:hAnsi="Times New Roman" w:cs="Times New Roman"/>
          <w:b/>
          <w:bCs/>
        </w:rPr>
      </w:pPr>
    </w:p>
    <w:p w:rsidR="00DA781F" w:rsidRPr="004536AA" w:rsidRDefault="004326AF" w:rsidP="00164C9C">
      <w:pPr>
        <w:pStyle w:val="ListParagraph"/>
        <w:numPr>
          <w:ilvl w:val="0"/>
          <w:numId w:val="15"/>
        </w:numPr>
        <w:ind w:left="0" w:firstLine="0"/>
        <w:jc w:val="both"/>
        <w:rPr>
          <w:rFonts w:ascii="Times New Roman" w:hAnsi="Times New Roman" w:cs="Times New Roman"/>
          <w:b/>
          <w:bCs/>
        </w:rPr>
      </w:pPr>
      <w:r w:rsidRPr="004536AA">
        <w:rPr>
          <w:rFonts w:ascii="Times New Roman" w:hAnsi="Times New Roman" w:cs="Times New Roman"/>
          <w:b/>
          <w:bCs/>
        </w:rPr>
        <w:t>The CTF seeks</w:t>
      </w:r>
      <w:r w:rsidR="007C5054" w:rsidRPr="004536AA">
        <w:rPr>
          <w:rFonts w:ascii="Times New Roman" w:hAnsi="Times New Roman" w:cs="Times New Roman"/>
          <w:b/>
          <w:bCs/>
        </w:rPr>
        <w:t xml:space="preserve"> to combine public sector investment</w:t>
      </w:r>
      <w:r w:rsidRPr="004536AA">
        <w:rPr>
          <w:rFonts w:ascii="Times New Roman" w:hAnsi="Times New Roman" w:cs="Times New Roman"/>
          <w:b/>
          <w:bCs/>
        </w:rPr>
        <w:t xml:space="preserve"> with private sector action, but a more concerted effort is needed to engage the private sector. </w:t>
      </w:r>
      <w:r w:rsidR="007B4367" w:rsidRPr="004536AA">
        <w:rPr>
          <w:rFonts w:ascii="Times New Roman" w:hAnsi="Times New Roman" w:cs="Times New Roman"/>
        </w:rPr>
        <w:t xml:space="preserve">The </w:t>
      </w:r>
      <w:r w:rsidR="00EB7755" w:rsidRPr="004536AA">
        <w:rPr>
          <w:rFonts w:ascii="Times New Roman" w:hAnsi="Times New Roman" w:cs="Times New Roman"/>
        </w:rPr>
        <w:t>projected private sector co-fin</w:t>
      </w:r>
      <w:r w:rsidR="00E907EA" w:rsidRPr="004536AA">
        <w:rPr>
          <w:rFonts w:ascii="Times New Roman" w:hAnsi="Times New Roman" w:cs="Times New Roman"/>
        </w:rPr>
        <w:t>ancing of CTF projects—</w:t>
      </w:r>
      <w:r w:rsidR="00C60CB2" w:rsidRPr="004536AA">
        <w:rPr>
          <w:rFonts w:ascii="Times New Roman" w:hAnsi="Times New Roman" w:cs="Times New Roman"/>
        </w:rPr>
        <w:t>30</w:t>
      </w:r>
      <w:r w:rsidR="00E907EA" w:rsidRPr="004536AA">
        <w:rPr>
          <w:rFonts w:ascii="Times New Roman" w:hAnsi="Times New Roman" w:cs="Times New Roman"/>
        </w:rPr>
        <w:t xml:space="preserve"> </w:t>
      </w:r>
      <w:r w:rsidR="00C60CB2" w:rsidRPr="004536AA">
        <w:rPr>
          <w:rFonts w:ascii="Times New Roman" w:hAnsi="Times New Roman" w:cs="Times New Roman"/>
        </w:rPr>
        <w:t>percent</w:t>
      </w:r>
      <w:r w:rsidR="00E907EA" w:rsidRPr="004536AA">
        <w:rPr>
          <w:rFonts w:ascii="Times New Roman" w:hAnsi="Times New Roman" w:cs="Times New Roman"/>
        </w:rPr>
        <w:t xml:space="preserve"> </w:t>
      </w:r>
      <w:r w:rsidR="006E0E64" w:rsidRPr="004536AA">
        <w:rPr>
          <w:rFonts w:ascii="Times New Roman" w:hAnsi="Times New Roman" w:cs="Times New Roman"/>
        </w:rPr>
        <w:t>or $12.5 billion</w:t>
      </w:r>
      <w:r w:rsidR="00EB7755" w:rsidRPr="004536AA">
        <w:rPr>
          <w:rFonts w:ascii="Times New Roman" w:hAnsi="Times New Roman" w:cs="Times New Roman"/>
        </w:rPr>
        <w:t xml:space="preserve"> of</w:t>
      </w:r>
      <w:r w:rsidR="0052661E" w:rsidRPr="004536AA">
        <w:rPr>
          <w:rFonts w:ascii="Times New Roman" w:hAnsi="Times New Roman" w:cs="Times New Roman"/>
        </w:rPr>
        <w:t xml:space="preserve"> the total expected project financing</w:t>
      </w:r>
      <w:r w:rsidR="00E907EA" w:rsidRPr="004536AA">
        <w:rPr>
          <w:rFonts w:ascii="Times New Roman" w:hAnsi="Times New Roman" w:cs="Times New Roman"/>
        </w:rPr>
        <w:t xml:space="preserve">—is a positive indication of CTF’s attractiveness to the </w:t>
      </w:r>
      <w:r w:rsidR="00EB7755" w:rsidRPr="004536AA">
        <w:rPr>
          <w:rFonts w:ascii="Times New Roman" w:hAnsi="Times New Roman" w:cs="Times New Roman"/>
        </w:rPr>
        <w:t>private sector</w:t>
      </w:r>
      <w:r w:rsidR="00E907EA" w:rsidRPr="004536AA">
        <w:rPr>
          <w:rFonts w:ascii="Times New Roman" w:hAnsi="Times New Roman" w:cs="Times New Roman"/>
        </w:rPr>
        <w:t>.  Approximately 37 percent</w:t>
      </w:r>
      <w:r w:rsidR="0052661E" w:rsidRPr="004536AA">
        <w:rPr>
          <w:rStyle w:val="FootnoteReference"/>
          <w:rFonts w:ascii="Times New Roman" w:hAnsi="Times New Roman" w:cs="Times New Roman"/>
        </w:rPr>
        <w:footnoteReference w:id="6"/>
      </w:r>
      <w:r w:rsidR="0052661E" w:rsidRPr="004536AA">
        <w:rPr>
          <w:rFonts w:ascii="Times New Roman" w:hAnsi="Times New Roman" w:cs="Times New Roman"/>
        </w:rPr>
        <w:t xml:space="preserve"> of the projects in the CTF pipeline are supporting</w:t>
      </w:r>
      <w:r w:rsidR="00EB7755" w:rsidRPr="004536AA">
        <w:rPr>
          <w:rFonts w:ascii="Times New Roman" w:hAnsi="Times New Roman" w:cs="Times New Roman"/>
        </w:rPr>
        <w:t xml:space="preserve"> priva</w:t>
      </w:r>
      <w:r w:rsidR="0052661E" w:rsidRPr="004536AA">
        <w:rPr>
          <w:rFonts w:ascii="Times New Roman" w:hAnsi="Times New Roman" w:cs="Times New Roman"/>
        </w:rPr>
        <w:t>te sector initiatives.  This</w:t>
      </w:r>
      <w:r w:rsidR="00EB7755" w:rsidRPr="004536AA">
        <w:rPr>
          <w:rFonts w:ascii="Times New Roman" w:hAnsi="Times New Roman" w:cs="Times New Roman"/>
        </w:rPr>
        <w:t xml:space="preserve"> slightly exceed</w:t>
      </w:r>
      <w:r w:rsidR="00E907EA" w:rsidRPr="004536AA">
        <w:rPr>
          <w:rFonts w:ascii="Times New Roman" w:hAnsi="Times New Roman" w:cs="Times New Roman"/>
        </w:rPr>
        <w:t>s</w:t>
      </w:r>
      <w:r w:rsidR="00EB7755" w:rsidRPr="004536AA">
        <w:rPr>
          <w:rFonts w:ascii="Times New Roman" w:hAnsi="Times New Roman" w:cs="Times New Roman"/>
        </w:rPr>
        <w:t xml:space="preserve"> the CTF Trust Fund C</w:t>
      </w:r>
      <w:r w:rsidR="00286BE2" w:rsidRPr="004536AA">
        <w:rPr>
          <w:rFonts w:ascii="Times New Roman" w:hAnsi="Times New Roman" w:cs="Times New Roman"/>
        </w:rPr>
        <w:t xml:space="preserve">ommittee’s expectations </w:t>
      </w:r>
      <w:r w:rsidR="00E907EA" w:rsidRPr="004536AA">
        <w:rPr>
          <w:rFonts w:ascii="Times New Roman" w:hAnsi="Times New Roman" w:cs="Times New Roman"/>
        </w:rPr>
        <w:t xml:space="preserve">at CTF’s </w:t>
      </w:r>
      <w:r w:rsidR="00EB7755" w:rsidRPr="004536AA">
        <w:rPr>
          <w:rFonts w:ascii="Times New Roman" w:hAnsi="Times New Roman" w:cs="Times New Roman"/>
        </w:rPr>
        <w:t>inception</w:t>
      </w:r>
      <w:r w:rsidR="00E907EA" w:rsidRPr="004536AA">
        <w:rPr>
          <w:rFonts w:ascii="Times New Roman" w:hAnsi="Times New Roman" w:cs="Times New Roman"/>
        </w:rPr>
        <w:t>.</w:t>
      </w:r>
      <w:r w:rsidR="00EB7755" w:rsidRPr="004536AA">
        <w:rPr>
          <w:rFonts w:ascii="Times New Roman" w:hAnsi="Times New Roman" w:cs="Times New Roman"/>
        </w:rPr>
        <w:t xml:space="preserve"> </w:t>
      </w:r>
    </w:p>
    <w:p w:rsidR="00E907EA" w:rsidRPr="004536AA" w:rsidRDefault="00E907EA" w:rsidP="00164C9C">
      <w:pPr>
        <w:pStyle w:val="ListParagraph"/>
        <w:jc w:val="both"/>
        <w:rPr>
          <w:rFonts w:ascii="Times New Roman" w:hAnsi="Times New Roman" w:cs="Times New Roman"/>
          <w:b/>
          <w:bCs/>
        </w:rPr>
      </w:pPr>
    </w:p>
    <w:p w:rsidR="0052661E" w:rsidRPr="004536AA" w:rsidRDefault="00EB7755" w:rsidP="00164C9C">
      <w:pPr>
        <w:pStyle w:val="ListParagraph"/>
        <w:numPr>
          <w:ilvl w:val="0"/>
          <w:numId w:val="15"/>
        </w:numPr>
        <w:ind w:left="0" w:firstLine="0"/>
        <w:jc w:val="both"/>
        <w:rPr>
          <w:rFonts w:ascii="Times New Roman" w:hAnsi="Times New Roman" w:cs="Times New Roman"/>
        </w:rPr>
      </w:pPr>
      <w:r w:rsidRPr="004536AA">
        <w:rPr>
          <w:rFonts w:ascii="Times New Roman" w:hAnsi="Times New Roman" w:cs="Times New Roman"/>
        </w:rPr>
        <w:t>Despite the</w:t>
      </w:r>
      <w:r w:rsidR="00E907EA" w:rsidRPr="004536AA">
        <w:rPr>
          <w:rFonts w:ascii="Times New Roman" w:hAnsi="Times New Roman" w:cs="Times New Roman"/>
        </w:rPr>
        <w:t xml:space="preserve">se promising figures, </w:t>
      </w:r>
      <w:r w:rsidRPr="004536AA">
        <w:rPr>
          <w:rFonts w:ascii="Times New Roman" w:hAnsi="Times New Roman" w:cs="Times New Roman"/>
        </w:rPr>
        <w:t>private sector engagement in the CTF design p</w:t>
      </w:r>
      <w:r w:rsidR="006979E3" w:rsidRPr="004536AA">
        <w:rPr>
          <w:rFonts w:ascii="Times New Roman" w:hAnsi="Times New Roman" w:cs="Times New Roman"/>
        </w:rPr>
        <w:t>hase has been uneven</w:t>
      </w:r>
      <w:r w:rsidR="006E0E64" w:rsidRPr="004536AA">
        <w:rPr>
          <w:rFonts w:ascii="Times New Roman" w:hAnsi="Times New Roman" w:cs="Times New Roman"/>
        </w:rPr>
        <w:t>. Many</w:t>
      </w:r>
      <w:r w:rsidR="00E907EA" w:rsidRPr="004536AA">
        <w:rPr>
          <w:rFonts w:ascii="Times New Roman" w:hAnsi="Times New Roman" w:cs="Times New Roman"/>
        </w:rPr>
        <w:t xml:space="preserve"> </w:t>
      </w:r>
      <w:r w:rsidRPr="004536AA">
        <w:rPr>
          <w:rFonts w:ascii="Times New Roman" w:hAnsi="Times New Roman" w:cs="Times New Roman"/>
        </w:rPr>
        <w:t>governments</w:t>
      </w:r>
      <w:r w:rsidR="00E907EA" w:rsidRPr="004536AA">
        <w:rPr>
          <w:rFonts w:ascii="Times New Roman" w:hAnsi="Times New Roman" w:cs="Times New Roman"/>
        </w:rPr>
        <w:t xml:space="preserve"> traditionally </w:t>
      </w:r>
      <w:r w:rsidR="00706764" w:rsidRPr="004536AA">
        <w:rPr>
          <w:rFonts w:ascii="Times New Roman" w:hAnsi="Times New Roman" w:cs="Times New Roman"/>
        </w:rPr>
        <w:t xml:space="preserve">focus </w:t>
      </w:r>
      <w:r w:rsidRPr="004536AA">
        <w:rPr>
          <w:rFonts w:ascii="Times New Roman" w:hAnsi="Times New Roman" w:cs="Times New Roman"/>
        </w:rPr>
        <w:t>on p</w:t>
      </w:r>
      <w:r w:rsidR="00706764" w:rsidRPr="004536AA">
        <w:rPr>
          <w:rFonts w:ascii="Times New Roman" w:hAnsi="Times New Roman" w:cs="Times New Roman"/>
        </w:rPr>
        <w:t xml:space="preserve">ublic sector </w:t>
      </w:r>
      <w:r w:rsidR="00BE215F" w:rsidRPr="004536AA">
        <w:rPr>
          <w:rFonts w:ascii="Times New Roman" w:hAnsi="Times New Roman" w:cs="Times New Roman"/>
        </w:rPr>
        <w:lastRenderedPageBreak/>
        <w:t>investment option</w:t>
      </w:r>
      <w:r w:rsidR="007C5054" w:rsidRPr="004536AA">
        <w:rPr>
          <w:rFonts w:ascii="Times New Roman" w:hAnsi="Times New Roman" w:cs="Times New Roman"/>
        </w:rPr>
        <w:t xml:space="preserve">s and give private sector needs </w:t>
      </w:r>
      <w:r w:rsidR="00BE215F" w:rsidRPr="004536AA">
        <w:rPr>
          <w:rFonts w:ascii="Times New Roman" w:hAnsi="Times New Roman" w:cs="Times New Roman"/>
        </w:rPr>
        <w:t xml:space="preserve">less </w:t>
      </w:r>
      <w:r w:rsidR="00706764" w:rsidRPr="004536AA">
        <w:rPr>
          <w:rFonts w:ascii="Times New Roman" w:hAnsi="Times New Roman" w:cs="Times New Roman"/>
        </w:rPr>
        <w:t>consideration</w:t>
      </w:r>
      <w:r w:rsidR="00BE215F" w:rsidRPr="004536AA">
        <w:rPr>
          <w:rFonts w:ascii="Times New Roman" w:hAnsi="Times New Roman" w:cs="Times New Roman"/>
        </w:rPr>
        <w:t xml:space="preserve">.  In addition, </w:t>
      </w:r>
      <w:r w:rsidR="006979E3" w:rsidRPr="004536AA">
        <w:rPr>
          <w:rFonts w:ascii="Times New Roman" w:hAnsi="Times New Roman" w:cs="Times New Roman"/>
        </w:rPr>
        <w:t>a</w:t>
      </w:r>
      <w:r w:rsidR="00706764" w:rsidRPr="004536AA">
        <w:rPr>
          <w:rFonts w:ascii="Times New Roman" w:hAnsi="Times New Roman" w:cs="Times New Roman"/>
        </w:rPr>
        <w:t xml:space="preserve"> country’s specific </w:t>
      </w:r>
      <w:r w:rsidRPr="004536AA">
        <w:rPr>
          <w:rFonts w:ascii="Times New Roman" w:hAnsi="Times New Roman" w:cs="Times New Roman"/>
        </w:rPr>
        <w:t xml:space="preserve">economic conditions and the </w:t>
      </w:r>
      <w:r w:rsidR="00706764" w:rsidRPr="004536AA">
        <w:rPr>
          <w:rFonts w:ascii="Times New Roman" w:hAnsi="Times New Roman" w:cs="Times New Roman"/>
        </w:rPr>
        <w:t xml:space="preserve">new </w:t>
      </w:r>
      <w:r w:rsidR="006979E3" w:rsidRPr="004536AA">
        <w:rPr>
          <w:rFonts w:ascii="Times New Roman" w:hAnsi="Times New Roman" w:cs="Times New Roman"/>
        </w:rPr>
        <w:t xml:space="preserve">technologies </w:t>
      </w:r>
      <w:r w:rsidRPr="004536AA">
        <w:rPr>
          <w:rFonts w:ascii="Times New Roman" w:hAnsi="Times New Roman" w:cs="Times New Roman"/>
        </w:rPr>
        <w:t>being proposed</w:t>
      </w:r>
      <w:r w:rsidR="00706764" w:rsidRPr="004536AA">
        <w:rPr>
          <w:rFonts w:ascii="Times New Roman" w:hAnsi="Times New Roman" w:cs="Times New Roman"/>
        </w:rPr>
        <w:t xml:space="preserve"> </w:t>
      </w:r>
      <w:r w:rsidR="00B557D4" w:rsidRPr="004536AA">
        <w:rPr>
          <w:rFonts w:ascii="Times New Roman" w:hAnsi="Times New Roman" w:cs="Times New Roman"/>
        </w:rPr>
        <w:t>also affect</w:t>
      </w:r>
      <w:r w:rsidR="00706764" w:rsidRPr="004536AA">
        <w:rPr>
          <w:rFonts w:ascii="Times New Roman" w:hAnsi="Times New Roman" w:cs="Times New Roman"/>
        </w:rPr>
        <w:t xml:space="preserve"> private sector engagement.  </w:t>
      </w:r>
    </w:p>
    <w:p w:rsidR="0052661E" w:rsidRPr="004536AA" w:rsidRDefault="0052661E" w:rsidP="00164C9C">
      <w:pPr>
        <w:pStyle w:val="ListParagraph"/>
        <w:jc w:val="both"/>
        <w:rPr>
          <w:rFonts w:ascii="Times New Roman" w:hAnsi="Times New Roman" w:cs="Times New Roman"/>
        </w:rPr>
      </w:pPr>
    </w:p>
    <w:p w:rsidR="00EB7755" w:rsidRPr="004536AA" w:rsidRDefault="00706764" w:rsidP="00164C9C">
      <w:pPr>
        <w:pStyle w:val="ListParagraph"/>
        <w:numPr>
          <w:ilvl w:val="0"/>
          <w:numId w:val="15"/>
        </w:numPr>
        <w:ind w:left="0" w:firstLine="0"/>
        <w:jc w:val="both"/>
        <w:rPr>
          <w:rFonts w:ascii="Times New Roman" w:hAnsi="Times New Roman" w:cs="Times New Roman"/>
        </w:rPr>
      </w:pPr>
      <w:r w:rsidRPr="004536AA">
        <w:rPr>
          <w:rFonts w:ascii="Times New Roman" w:hAnsi="Times New Roman" w:cs="Times New Roman"/>
        </w:rPr>
        <w:t>In Turkey, the EBRD and the World Bank</w:t>
      </w:r>
      <w:r w:rsidR="00A4747E" w:rsidRPr="004536AA">
        <w:rPr>
          <w:rFonts w:ascii="Times New Roman" w:hAnsi="Times New Roman" w:cs="Times New Roman"/>
        </w:rPr>
        <w:t xml:space="preserve"> Group</w:t>
      </w:r>
      <w:r w:rsidRPr="004536AA">
        <w:rPr>
          <w:rFonts w:ascii="Times New Roman" w:hAnsi="Times New Roman" w:cs="Times New Roman"/>
        </w:rPr>
        <w:t xml:space="preserve">, including </w:t>
      </w:r>
      <w:r w:rsidR="00EB7755" w:rsidRPr="004536AA">
        <w:rPr>
          <w:rFonts w:ascii="Times New Roman" w:hAnsi="Times New Roman" w:cs="Times New Roman"/>
        </w:rPr>
        <w:t>IFC</w:t>
      </w:r>
      <w:r w:rsidRPr="004536AA">
        <w:rPr>
          <w:rFonts w:ascii="Times New Roman" w:hAnsi="Times New Roman" w:cs="Times New Roman"/>
        </w:rPr>
        <w:t>,</w:t>
      </w:r>
      <w:r w:rsidR="00CC381A" w:rsidRPr="004536AA">
        <w:rPr>
          <w:rFonts w:ascii="Times New Roman" w:hAnsi="Times New Roman" w:cs="Times New Roman"/>
        </w:rPr>
        <w:t xml:space="preserve"> helped mainstream lending for energy efficiency </w:t>
      </w:r>
      <w:r w:rsidR="00931FDB" w:rsidRPr="004536AA">
        <w:rPr>
          <w:rFonts w:ascii="Times New Roman" w:hAnsi="Times New Roman" w:cs="Times New Roman"/>
        </w:rPr>
        <w:t xml:space="preserve">through local </w:t>
      </w:r>
      <w:r w:rsidR="00EB7755" w:rsidRPr="004536AA">
        <w:rPr>
          <w:rFonts w:ascii="Times New Roman" w:hAnsi="Times New Roman" w:cs="Times New Roman"/>
        </w:rPr>
        <w:t xml:space="preserve">financial intermediaries.   </w:t>
      </w:r>
      <w:r w:rsidR="00FD5972" w:rsidRPr="004536AA">
        <w:rPr>
          <w:rFonts w:ascii="Times New Roman" w:hAnsi="Times New Roman" w:cs="Times New Roman"/>
        </w:rPr>
        <w:t xml:space="preserve">This was made possible by </w:t>
      </w:r>
      <w:r w:rsidR="00931FDB" w:rsidRPr="004536AA">
        <w:rPr>
          <w:rFonts w:ascii="Times New Roman" w:hAnsi="Times New Roman" w:cs="Times New Roman"/>
        </w:rPr>
        <w:t xml:space="preserve">the Turkish Treasury’s ongoing engagement with </w:t>
      </w:r>
      <w:r w:rsidR="0052661E" w:rsidRPr="004536AA">
        <w:rPr>
          <w:rFonts w:ascii="Times New Roman" w:hAnsi="Times New Roman" w:cs="Times New Roman"/>
        </w:rPr>
        <w:t xml:space="preserve">many </w:t>
      </w:r>
      <w:r w:rsidR="00A22D90" w:rsidRPr="004536AA">
        <w:rPr>
          <w:rFonts w:ascii="Times New Roman" w:hAnsi="Times New Roman" w:cs="Times New Roman"/>
        </w:rPr>
        <w:t>state-owned banks and the MDBs well-established relationships with private Turkish financial institutions</w:t>
      </w:r>
      <w:r w:rsidR="00931FDB" w:rsidRPr="004536AA">
        <w:rPr>
          <w:rFonts w:ascii="Times New Roman" w:hAnsi="Times New Roman" w:cs="Times New Roman"/>
        </w:rPr>
        <w:t>.</w:t>
      </w:r>
      <w:r w:rsidR="00FD5972" w:rsidRPr="004536AA">
        <w:rPr>
          <w:rFonts w:ascii="Times New Roman" w:hAnsi="Times New Roman" w:cs="Times New Roman"/>
        </w:rPr>
        <w:t xml:space="preserve">  In the MENA region, the CSP project has stimulated important dialogues between the government and the private sector.  The</w:t>
      </w:r>
      <w:r w:rsidR="00170512" w:rsidRPr="004536AA">
        <w:rPr>
          <w:rFonts w:ascii="Times New Roman" w:hAnsi="Times New Roman" w:cs="Times New Roman"/>
        </w:rPr>
        <w:t xml:space="preserve"> government is tapping the expertise of</w:t>
      </w:r>
      <w:r w:rsidR="00FD5972" w:rsidRPr="004536AA">
        <w:rPr>
          <w:rFonts w:ascii="Times New Roman" w:hAnsi="Times New Roman" w:cs="Times New Roman"/>
        </w:rPr>
        <w:t xml:space="preserve"> technology p</w:t>
      </w:r>
      <w:r w:rsidR="00170512" w:rsidRPr="004536AA">
        <w:rPr>
          <w:rFonts w:ascii="Times New Roman" w:hAnsi="Times New Roman" w:cs="Times New Roman"/>
        </w:rPr>
        <w:t xml:space="preserve">roviders and financiers </w:t>
      </w:r>
      <w:r w:rsidR="00FD5972" w:rsidRPr="004536AA">
        <w:rPr>
          <w:rFonts w:ascii="Times New Roman" w:hAnsi="Times New Roman" w:cs="Times New Roman"/>
        </w:rPr>
        <w:t xml:space="preserve">to structure complex transactions and </w:t>
      </w:r>
      <w:r w:rsidR="00170512" w:rsidRPr="004536AA">
        <w:rPr>
          <w:rFonts w:ascii="Times New Roman" w:hAnsi="Times New Roman" w:cs="Times New Roman"/>
        </w:rPr>
        <w:t xml:space="preserve">ensure </w:t>
      </w:r>
      <w:r w:rsidR="00FD5972" w:rsidRPr="004536AA">
        <w:rPr>
          <w:rFonts w:ascii="Times New Roman" w:hAnsi="Times New Roman" w:cs="Times New Roman"/>
        </w:rPr>
        <w:t>efficient project implementation.</w:t>
      </w:r>
    </w:p>
    <w:p w:rsidR="00EB7755" w:rsidRPr="004536AA" w:rsidRDefault="00EB7755" w:rsidP="00164C9C">
      <w:pPr>
        <w:jc w:val="both"/>
        <w:rPr>
          <w:rFonts w:ascii="Times New Roman" w:hAnsi="Times New Roman" w:cs="Times New Roman"/>
          <w:b/>
          <w:bCs/>
          <w:i/>
          <w:iCs/>
        </w:rPr>
      </w:pPr>
    </w:p>
    <w:p w:rsidR="00EB7755" w:rsidRPr="004536AA" w:rsidRDefault="00EB7755" w:rsidP="00164C9C">
      <w:pPr>
        <w:pStyle w:val="ListParagraph"/>
        <w:numPr>
          <w:ilvl w:val="0"/>
          <w:numId w:val="15"/>
        </w:numPr>
        <w:ind w:left="0" w:firstLine="0"/>
        <w:jc w:val="both"/>
        <w:rPr>
          <w:rFonts w:ascii="Times New Roman" w:hAnsi="Times New Roman" w:cs="Times New Roman"/>
          <w:b/>
          <w:bCs/>
        </w:rPr>
      </w:pPr>
      <w:r w:rsidRPr="004536AA">
        <w:rPr>
          <w:rFonts w:ascii="Times New Roman" w:hAnsi="Times New Roman" w:cs="Times New Roman"/>
          <w:b/>
          <w:bCs/>
        </w:rPr>
        <w:t>Involving development partner</w:t>
      </w:r>
      <w:r w:rsidR="00CB5365" w:rsidRPr="004536AA">
        <w:rPr>
          <w:rFonts w:ascii="Times New Roman" w:hAnsi="Times New Roman" w:cs="Times New Roman"/>
          <w:b/>
          <w:bCs/>
        </w:rPr>
        <w:t xml:space="preserve">s </w:t>
      </w:r>
      <w:r w:rsidR="004326AF" w:rsidRPr="004536AA">
        <w:rPr>
          <w:rFonts w:ascii="Times New Roman" w:hAnsi="Times New Roman" w:cs="Times New Roman"/>
          <w:b/>
          <w:bCs/>
        </w:rPr>
        <w:t>can help</w:t>
      </w:r>
      <w:r w:rsidRPr="004536AA">
        <w:rPr>
          <w:rFonts w:ascii="Times New Roman" w:hAnsi="Times New Roman" w:cs="Times New Roman"/>
          <w:b/>
          <w:bCs/>
        </w:rPr>
        <w:t xml:space="preserve"> mobilize co-financing, catalyze complementary projects, and leverage technical assistance for capacity building.  </w:t>
      </w:r>
      <w:r w:rsidRPr="004536AA">
        <w:rPr>
          <w:rFonts w:ascii="Times New Roman" w:hAnsi="Times New Roman" w:cs="Times New Roman"/>
        </w:rPr>
        <w:t>Even middle</w:t>
      </w:r>
      <w:r w:rsidR="00B557D4" w:rsidRPr="004536AA">
        <w:rPr>
          <w:rFonts w:ascii="Times New Roman" w:hAnsi="Times New Roman" w:cs="Times New Roman"/>
        </w:rPr>
        <w:t xml:space="preserve"> income countries may have limited </w:t>
      </w:r>
      <w:r w:rsidRPr="004536AA">
        <w:rPr>
          <w:rFonts w:ascii="Times New Roman" w:hAnsi="Times New Roman" w:cs="Times New Roman"/>
        </w:rPr>
        <w:t xml:space="preserve">national capacity to address all of the complex challenges involved in stimulating low carbon development. Because many developing countries will not borrow for technical assistance, mobilizing complementary technical assistance grants can be strategically vital to the success of investment plans that are funded through concessional loans.    </w:t>
      </w:r>
    </w:p>
    <w:p w:rsidR="00EB7755" w:rsidRPr="004536AA" w:rsidRDefault="00EB7755" w:rsidP="00164C9C">
      <w:pPr>
        <w:pStyle w:val="ListParagraph"/>
        <w:jc w:val="both"/>
        <w:rPr>
          <w:rFonts w:ascii="Times New Roman" w:hAnsi="Times New Roman" w:cs="Times New Roman"/>
          <w:b/>
          <w:bCs/>
        </w:rPr>
      </w:pPr>
    </w:p>
    <w:p w:rsidR="00EB7755" w:rsidRPr="004536AA" w:rsidRDefault="00EB7755" w:rsidP="00164C9C">
      <w:pPr>
        <w:pStyle w:val="ListParagraph"/>
        <w:numPr>
          <w:ilvl w:val="0"/>
          <w:numId w:val="15"/>
        </w:numPr>
        <w:ind w:left="0" w:firstLine="0"/>
        <w:jc w:val="both"/>
        <w:rPr>
          <w:rFonts w:ascii="Times New Roman" w:hAnsi="Times New Roman" w:cs="Times New Roman"/>
        </w:rPr>
      </w:pPr>
      <w:r w:rsidRPr="004536AA">
        <w:rPr>
          <w:rFonts w:ascii="Times New Roman" w:hAnsi="Times New Roman" w:cs="Times New Roman"/>
        </w:rPr>
        <w:t xml:space="preserve">For example, German and French development agencies are co-financing several CTF projects in South Africa and </w:t>
      </w:r>
      <w:r w:rsidR="00286BE2" w:rsidRPr="004536AA">
        <w:rPr>
          <w:rFonts w:ascii="Times New Roman" w:hAnsi="Times New Roman" w:cs="Times New Roman"/>
        </w:rPr>
        <w:t xml:space="preserve">Morocco, and </w:t>
      </w:r>
      <w:r w:rsidRPr="004536AA">
        <w:rPr>
          <w:rFonts w:ascii="Times New Roman" w:hAnsi="Times New Roman" w:cs="Times New Roman"/>
        </w:rPr>
        <w:t>providing both co-financing and technical assistance to Turke</w:t>
      </w:r>
      <w:r w:rsidR="00BE215F" w:rsidRPr="004536AA">
        <w:rPr>
          <w:rFonts w:ascii="Times New Roman" w:hAnsi="Times New Roman" w:cs="Times New Roman"/>
        </w:rPr>
        <w:t xml:space="preserve">y.  The Japan </w:t>
      </w:r>
      <w:r w:rsidR="00B557D4" w:rsidRPr="004536AA">
        <w:rPr>
          <w:rFonts w:ascii="Times New Roman" w:hAnsi="Times New Roman" w:cs="Times New Roman"/>
        </w:rPr>
        <w:t xml:space="preserve">International Cooperation </w:t>
      </w:r>
      <w:r w:rsidR="00BE215F" w:rsidRPr="004536AA">
        <w:rPr>
          <w:rFonts w:ascii="Times New Roman" w:hAnsi="Times New Roman" w:cs="Times New Roman"/>
        </w:rPr>
        <w:t xml:space="preserve">Agency </w:t>
      </w:r>
      <w:r w:rsidR="00706764" w:rsidRPr="004536AA">
        <w:rPr>
          <w:rFonts w:ascii="Times New Roman" w:hAnsi="Times New Roman" w:cs="Times New Roman"/>
        </w:rPr>
        <w:t xml:space="preserve">and </w:t>
      </w:r>
      <w:r w:rsidR="00B557D4" w:rsidRPr="004536AA">
        <w:rPr>
          <w:rFonts w:ascii="Times New Roman" w:hAnsi="Times New Roman" w:cs="Times New Roman"/>
        </w:rPr>
        <w:t xml:space="preserve">the German government’s </w:t>
      </w:r>
      <w:r w:rsidR="00706764" w:rsidRPr="004536AA">
        <w:rPr>
          <w:rFonts w:ascii="Times New Roman" w:hAnsi="Times New Roman" w:cs="Times New Roman"/>
        </w:rPr>
        <w:t>KfW are active bilateral development partners</w:t>
      </w:r>
      <w:r w:rsidRPr="004536AA">
        <w:rPr>
          <w:rFonts w:ascii="Times New Roman" w:hAnsi="Times New Roman" w:cs="Times New Roman"/>
        </w:rPr>
        <w:t xml:space="preserve"> in Indone</w:t>
      </w:r>
      <w:r w:rsidR="00706764" w:rsidRPr="004536AA">
        <w:rPr>
          <w:rFonts w:ascii="Times New Roman" w:hAnsi="Times New Roman" w:cs="Times New Roman"/>
        </w:rPr>
        <w:t xml:space="preserve">sia and the Philippines, </w:t>
      </w:r>
      <w:r w:rsidRPr="004536AA">
        <w:rPr>
          <w:rFonts w:ascii="Times New Roman" w:hAnsi="Times New Roman" w:cs="Times New Roman"/>
        </w:rPr>
        <w:t xml:space="preserve">complementing CTF </w:t>
      </w:r>
      <w:r w:rsidR="00706764" w:rsidRPr="004536AA">
        <w:rPr>
          <w:rFonts w:ascii="Times New Roman" w:hAnsi="Times New Roman" w:cs="Times New Roman"/>
        </w:rPr>
        <w:t>investment products with their own investments.</w:t>
      </w:r>
    </w:p>
    <w:p w:rsidR="00EB7755" w:rsidRPr="004536AA" w:rsidRDefault="00EB7755" w:rsidP="00164C9C">
      <w:pPr>
        <w:jc w:val="both"/>
        <w:rPr>
          <w:rFonts w:ascii="Times New Roman" w:hAnsi="Times New Roman" w:cs="Times New Roman"/>
          <w:b/>
          <w:bCs/>
        </w:rPr>
      </w:pPr>
    </w:p>
    <w:p w:rsidR="00EB7755" w:rsidRPr="001B2808" w:rsidRDefault="00EB7755" w:rsidP="00164C9C">
      <w:pPr>
        <w:jc w:val="both"/>
        <w:rPr>
          <w:rFonts w:ascii="Times New Roman" w:hAnsi="Times New Roman" w:cs="Times New Roman"/>
        </w:rPr>
      </w:pPr>
      <w:r w:rsidRPr="001B2808">
        <w:rPr>
          <w:rFonts w:ascii="Times New Roman" w:hAnsi="Times New Roman" w:cs="Times New Roman"/>
          <w:b/>
          <w:bCs/>
        </w:rPr>
        <w:t>Going Forward</w:t>
      </w:r>
      <w:r w:rsidRPr="001B2808">
        <w:rPr>
          <w:rFonts w:ascii="Times New Roman" w:hAnsi="Times New Roman" w:cs="Times New Roman"/>
        </w:rPr>
        <w:t xml:space="preserve"> </w:t>
      </w:r>
    </w:p>
    <w:p w:rsidR="00E05C5F" w:rsidRPr="004536AA" w:rsidRDefault="00E05C5F" w:rsidP="00164C9C">
      <w:pPr>
        <w:jc w:val="both"/>
        <w:rPr>
          <w:rFonts w:ascii="Times New Roman" w:hAnsi="Times New Roman" w:cs="Times New Roman"/>
          <w:sz w:val="28"/>
          <w:szCs w:val="28"/>
        </w:rPr>
      </w:pPr>
    </w:p>
    <w:p w:rsidR="00EB7755" w:rsidRPr="004536AA" w:rsidRDefault="00EB7755" w:rsidP="00164C9C">
      <w:pPr>
        <w:pStyle w:val="ListParagraph"/>
        <w:numPr>
          <w:ilvl w:val="0"/>
          <w:numId w:val="15"/>
        </w:numPr>
        <w:ind w:left="0" w:firstLine="0"/>
        <w:jc w:val="both"/>
        <w:rPr>
          <w:rFonts w:ascii="Times New Roman" w:hAnsi="Times New Roman" w:cs="Times New Roman"/>
        </w:rPr>
      </w:pPr>
      <w:r w:rsidRPr="004536AA">
        <w:rPr>
          <w:rFonts w:ascii="Times New Roman" w:hAnsi="Times New Roman" w:cs="Times New Roman"/>
        </w:rPr>
        <w:t xml:space="preserve">The CTF </w:t>
      </w:r>
      <w:r w:rsidR="00CB5365" w:rsidRPr="004536AA">
        <w:rPr>
          <w:rFonts w:ascii="Times New Roman" w:hAnsi="Times New Roman" w:cs="Times New Roman"/>
        </w:rPr>
        <w:t>was the first to test</w:t>
      </w:r>
      <w:r w:rsidRPr="004536AA">
        <w:rPr>
          <w:rFonts w:ascii="Times New Roman" w:hAnsi="Times New Roman" w:cs="Times New Roman"/>
        </w:rPr>
        <w:t xml:space="preserve"> the CIF model and has been able to move ahead relatively quickly because of the ability to work within the parameters already established in middle-income countries.  The CTF has had initial success in building strategic frameworks for allocating resources and setting out the modalities for scaling </w:t>
      </w:r>
      <w:r w:rsidR="00931FDB" w:rsidRPr="004536AA">
        <w:rPr>
          <w:rFonts w:ascii="Times New Roman" w:hAnsi="Times New Roman" w:cs="Times New Roman"/>
        </w:rPr>
        <w:t>up</w:t>
      </w:r>
      <w:r w:rsidR="00A4747E" w:rsidRPr="004536AA">
        <w:rPr>
          <w:rFonts w:ascii="Times New Roman" w:hAnsi="Times New Roman" w:cs="Times New Roman"/>
        </w:rPr>
        <w:t xml:space="preserve"> low carbon development.  The</w:t>
      </w:r>
      <w:r w:rsidR="00931FDB" w:rsidRPr="004536AA">
        <w:rPr>
          <w:rFonts w:ascii="Times New Roman" w:hAnsi="Times New Roman" w:cs="Times New Roman"/>
        </w:rPr>
        <w:t xml:space="preserve"> emphasis</w:t>
      </w:r>
      <w:r w:rsidR="00A4747E" w:rsidRPr="004536AA">
        <w:rPr>
          <w:rFonts w:ascii="Times New Roman" w:hAnsi="Times New Roman" w:cs="Times New Roman"/>
        </w:rPr>
        <w:t xml:space="preserve"> has been</w:t>
      </w:r>
      <w:r w:rsidR="00931FDB" w:rsidRPr="004536AA">
        <w:rPr>
          <w:rFonts w:ascii="Times New Roman" w:hAnsi="Times New Roman" w:cs="Times New Roman"/>
        </w:rPr>
        <w:t xml:space="preserve"> on building partnerships and leveraging synergies.</w:t>
      </w:r>
    </w:p>
    <w:p w:rsidR="00EB7755" w:rsidRPr="004536AA" w:rsidRDefault="00EB7755" w:rsidP="00164C9C">
      <w:pPr>
        <w:jc w:val="both"/>
        <w:rPr>
          <w:rFonts w:ascii="Times New Roman" w:hAnsi="Times New Roman" w:cs="Times New Roman"/>
        </w:rPr>
      </w:pPr>
    </w:p>
    <w:p w:rsidR="00EB7755" w:rsidRPr="004536AA" w:rsidRDefault="00CB5365" w:rsidP="00164C9C">
      <w:pPr>
        <w:pStyle w:val="ListParagraph"/>
        <w:numPr>
          <w:ilvl w:val="0"/>
          <w:numId w:val="15"/>
        </w:numPr>
        <w:ind w:left="0" w:firstLine="0"/>
        <w:jc w:val="both"/>
        <w:rPr>
          <w:rFonts w:ascii="Times New Roman" w:hAnsi="Times New Roman" w:cs="Times New Roman"/>
        </w:rPr>
      </w:pPr>
      <w:r w:rsidRPr="004536AA">
        <w:rPr>
          <w:rFonts w:ascii="Times New Roman" w:hAnsi="Times New Roman" w:cs="Times New Roman"/>
        </w:rPr>
        <w:t>As the CTF moves beyond the initial phase</w:t>
      </w:r>
      <w:r w:rsidR="00EB7755" w:rsidRPr="004536AA">
        <w:rPr>
          <w:rFonts w:ascii="Times New Roman" w:hAnsi="Times New Roman" w:cs="Times New Roman"/>
        </w:rPr>
        <w:t xml:space="preserve">, where much of the focus has been on </w:t>
      </w:r>
      <w:r w:rsidRPr="004536AA">
        <w:rPr>
          <w:rFonts w:ascii="Times New Roman" w:hAnsi="Times New Roman" w:cs="Times New Roman"/>
        </w:rPr>
        <w:t xml:space="preserve">the planning </w:t>
      </w:r>
      <w:r w:rsidR="00EB7755" w:rsidRPr="004536AA">
        <w:rPr>
          <w:rFonts w:ascii="Times New Roman" w:hAnsi="Times New Roman" w:cs="Times New Roman"/>
        </w:rPr>
        <w:t>process, to actual project impleme</w:t>
      </w:r>
      <w:r w:rsidR="00286BE2" w:rsidRPr="004536AA">
        <w:rPr>
          <w:rFonts w:ascii="Times New Roman" w:hAnsi="Times New Roman" w:cs="Times New Roman"/>
        </w:rPr>
        <w:t>ntation, new and more in-depth</w:t>
      </w:r>
      <w:r w:rsidR="00EB7755" w:rsidRPr="004536AA">
        <w:rPr>
          <w:rFonts w:ascii="Times New Roman" w:hAnsi="Times New Roman" w:cs="Times New Roman"/>
        </w:rPr>
        <w:t xml:space="preserve"> lessons that are tailored to country contexts will emerge.  Going forward, progress toward low carbon development will depend on country leadership and policies.  The replication of CTF investments by the private sector will also be an important indicator of whether CTF fund</w:t>
      </w:r>
      <w:r w:rsidR="00A511E4" w:rsidRPr="004536AA">
        <w:rPr>
          <w:rFonts w:ascii="Times New Roman" w:hAnsi="Times New Roman" w:cs="Times New Roman"/>
        </w:rPr>
        <w:t>s</w:t>
      </w:r>
      <w:r w:rsidR="00EB7755" w:rsidRPr="004536AA">
        <w:rPr>
          <w:rFonts w:ascii="Times New Roman" w:hAnsi="Times New Roman" w:cs="Times New Roman"/>
        </w:rPr>
        <w:t xml:space="preserve"> have been used successfully to catalyze market transformation.  </w:t>
      </w:r>
    </w:p>
    <w:p w:rsidR="00561F03" w:rsidRPr="004536AA" w:rsidRDefault="00561F03" w:rsidP="00164C9C">
      <w:pPr>
        <w:pStyle w:val="ListParagraph"/>
        <w:jc w:val="both"/>
        <w:rPr>
          <w:rFonts w:ascii="Times New Roman" w:hAnsi="Times New Roman" w:cs="Times New Roman"/>
        </w:rPr>
      </w:pPr>
    </w:p>
    <w:p w:rsidR="00561F03" w:rsidRPr="004536AA" w:rsidRDefault="00561F03" w:rsidP="00164C9C">
      <w:pPr>
        <w:pStyle w:val="ListParagraph"/>
        <w:jc w:val="both"/>
        <w:rPr>
          <w:rFonts w:ascii="Times New Roman" w:hAnsi="Times New Roman" w:cs="Times New Roman"/>
        </w:rPr>
      </w:pPr>
    </w:p>
    <w:sectPr w:rsidR="00561F03" w:rsidRPr="004536AA" w:rsidSect="00EB7755">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26B" w:rsidRDefault="00DC026B" w:rsidP="005C38E5">
      <w:r>
        <w:separator/>
      </w:r>
    </w:p>
  </w:endnote>
  <w:endnote w:type="continuationSeparator" w:id="0">
    <w:p w:rsidR="00DC026B" w:rsidRDefault="00DC026B" w:rsidP="005C38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TFF595940t00">
    <w:panose1 w:val="00000000000000000000"/>
    <w:charset w:val="00"/>
    <w:family w:val="auto"/>
    <w:notTrueType/>
    <w:pitch w:val="default"/>
    <w:sig w:usb0="00000003" w:usb1="00000000" w:usb2="00000000" w:usb3="00000000" w:csb0="00000001" w:csb1="00000000"/>
  </w:font>
  <w:font w:name="TTFF5910C0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138" w:rsidRDefault="00D34048" w:rsidP="00D1750D">
    <w:pPr>
      <w:pStyle w:val="Footer"/>
      <w:framePr w:wrap="around" w:vAnchor="text" w:hAnchor="margin" w:xAlign="right" w:y="1"/>
      <w:rPr>
        <w:rStyle w:val="PageNumber"/>
      </w:rPr>
    </w:pPr>
    <w:r>
      <w:rPr>
        <w:rStyle w:val="PageNumber"/>
      </w:rPr>
      <w:fldChar w:fldCharType="begin"/>
    </w:r>
    <w:r w:rsidR="00416138">
      <w:rPr>
        <w:rStyle w:val="PageNumber"/>
      </w:rPr>
      <w:instrText xml:space="preserve">PAGE  </w:instrText>
    </w:r>
    <w:r>
      <w:rPr>
        <w:rStyle w:val="PageNumber"/>
      </w:rPr>
      <w:fldChar w:fldCharType="end"/>
    </w:r>
  </w:p>
  <w:p w:rsidR="00416138" w:rsidRDefault="00416138" w:rsidP="00B600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138" w:rsidRDefault="00D34048" w:rsidP="00D1750D">
    <w:pPr>
      <w:pStyle w:val="Footer"/>
      <w:framePr w:wrap="around" w:vAnchor="text" w:hAnchor="margin" w:xAlign="right" w:y="1"/>
      <w:rPr>
        <w:rStyle w:val="PageNumber"/>
      </w:rPr>
    </w:pPr>
    <w:r>
      <w:rPr>
        <w:rStyle w:val="PageNumber"/>
      </w:rPr>
      <w:fldChar w:fldCharType="begin"/>
    </w:r>
    <w:r w:rsidR="00416138">
      <w:rPr>
        <w:rStyle w:val="PageNumber"/>
      </w:rPr>
      <w:instrText xml:space="preserve">PAGE  </w:instrText>
    </w:r>
    <w:r>
      <w:rPr>
        <w:rStyle w:val="PageNumber"/>
      </w:rPr>
      <w:fldChar w:fldCharType="separate"/>
    </w:r>
    <w:r w:rsidR="00076B42">
      <w:rPr>
        <w:rStyle w:val="PageNumber"/>
        <w:noProof/>
      </w:rPr>
      <w:t>11</w:t>
    </w:r>
    <w:r>
      <w:rPr>
        <w:rStyle w:val="PageNumber"/>
      </w:rPr>
      <w:fldChar w:fldCharType="end"/>
    </w:r>
  </w:p>
  <w:p w:rsidR="00416138" w:rsidRDefault="00416138" w:rsidP="00B600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26B" w:rsidRDefault="00DC026B" w:rsidP="005C38E5">
      <w:r>
        <w:separator/>
      </w:r>
    </w:p>
  </w:footnote>
  <w:footnote w:type="continuationSeparator" w:id="0">
    <w:p w:rsidR="00DC026B" w:rsidRDefault="00DC026B" w:rsidP="005C38E5">
      <w:r>
        <w:continuationSeparator/>
      </w:r>
    </w:p>
  </w:footnote>
  <w:footnote w:id="1">
    <w:p w:rsidR="00416138" w:rsidRDefault="00416138">
      <w:pPr>
        <w:pStyle w:val="FootnoteText"/>
      </w:pPr>
      <w:r>
        <w:rPr>
          <w:rStyle w:val="FootnoteReference"/>
        </w:rPr>
        <w:footnoteRef/>
      </w:r>
      <w:r>
        <w:t xml:space="preserve"> African Development Bank, Asian Development Bank, European Bank for Reconstruction and Development, Inter-American Development Bank, and the World Bank Group, including the International Finance Corporation.</w:t>
      </w:r>
    </w:p>
  </w:footnote>
  <w:footnote w:id="2">
    <w:p w:rsidR="00416138" w:rsidRDefault="00416138">
      <w:pPr>
        <w:pStyle w:val="FootnoteText"/>
      </w:pPr>
      <w:r>
        <w:rPr>
          <w:rStyle w:val="FootnoteReference"/>
        </w:rPr>
        <w:footnoteRef/>
      </w:r>
      <w:r>
        <w:t xml:space="preserve"> As of December 2010.</w:t>
      </w:r>
    </w:p>
  </w:footnote>
  <w:footnote w:id="3">
    <w:p w:rsidR="00416138" w:rsidRDefault="00416138">
      <w:pPr>
        <w:pStyle w:val="FootnoteText"/>
      </w:pPr>
      <w:r>
        <w:rPr>
          <w:rStyle w:val="FootnoteReference"/>
        </w:rPr>
        <w:footnoteRef/>
      </w:r>
      <w:r>
        <w:t xml:space="preserve"> Indonesia, Mexico, South Africa, and Turkey.</w:t>
      </w:r>
    </w:p>
  </w:footnote>
  <w:footnote w:id="4">
    <w:p w:rsidR="00416138" w:rsidRDefault="00416138" w:rsidP="008B74B2">
      <w:pPr>
        <w:pStyle w:val="FootnoteText"/>
      </w:pPr>
      <w:r>
        <w:rPr>
          <w:rStyle w:val="FootnoteReference"/>
        </w:rPr>
        <w:footnoteRef/>
      </w:r>
      <w:r>
        <w:t xml:space="preserve"> Algeria, Egypt, Jordan, Morocco, and Tunisia.</w:t>
      </w:r>
    </w:p>
  </w:footnote>
  <w:footnote w:id="5">
    <w:p w:rsidR="00416138" w:rsidRDefault="00416138">
      <w:pPr>
        <w:pStyle w:val="FootnoteText"/>
      </w:pPr>
      <w:r>
        <w:rPr>
          <w:rStyle w:val="FootnoteReference"/>
        </w:rPr>
        <w:footnoteRef/>
      </w:r>
      <w:r>
        <w:t xml:space="preserve"> Clean Technology Fund Investment Criteria for Public Sector Operations</w:t>
      </w:r>
    </w:p>
  </w:footnote>
  <w:footnote w:id="6">
    <w:p w:rsidR="00416138" w:rsidRDefault="00416138">
      <w:pPr>
        <w:pStyle w:val="FootnoteText"/>
      </w:pPr>
      <w:r>
        <w:rPr>
          <w:rStyle w:val="FootnoteReference"/>
        </w:rPr>
        <w:footnoteRef/>
      </w:r>
      <w:r>
        <w:t xml:space="preserve"> By volume.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E96"/>
    <w:multiLevelType w:val="hybridMultilevel"/>
    <w:tmpl w:val="161EC0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0A3D0049"/>
    <w:multiLevelType w:val="hybridMultilevel"/>
    <w:tmpl w:val="5A945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105845F8"/>
    <w:multiLevelType w:val="hybridMultilevel"/>
    <w:tmpl w:val="077A4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161B32"/>
    <w:multiLevelType w:val="hybridMultilevel"/>
    <w:tmpl w:val="21ECD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DC13DA"/>
    <w:multiLevelType w:val="hybridMultilevel"/>
    <w:tmpl w:val="9920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230C5"/>
    <w:multiLevelType w:val="hybridMultilevel"/>
    <w:tmpl w:val="71007C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31E96F72"/>
    <w:multiLevelType w:val="hybridMultilevel"/>
    <w:tmpl w:val="3A8C93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3A1B6F9D"/>
    <w:multiLevelType w:val="hybridMultilevel"/>
    <w:tmpl w:val="48125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D0149B"/>
    <w:multiLevelType w:val="hybridMultilevel"/>
    <w:tmpl w:val="448874AA"/>
    <w:lvl w:ilvl="0" w:tplc="08090001">
      <w:start w:val="1"/>
      <w:numFmt w:val="bullet"/>
      <w:lvlText w:val=""/>
      <w:lvlJc w:val="left"/>
      <w:pPr>
        <w:tabs>
          <w:tab w:val="num" w:pos="1440"/>
        </w:tabs>
        <w:ind w:left="1440" w:hanging="360"/>
      </w:pPr>
      <w:rPr>
        <w:rFonts w:ascii="Symbol" w:hAnsi="Symbol" w:cs="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cs="Wingdings" w:hint="default"/>
      </w:rPr>
    </w:lvl>
    <w:lvl w:ilvl="3" w:tplc="08090001" w:tentative="1">
      <w:start w:val="1"/>
      <w:numFmt w:val="bullet"/>
      <w:lvlText w:val=""/>
      <w:lvlJc w:val="left"/>
      <w:pPr>
        <w:tabs>
          <w:tab w:val="num" w:pos="3600"/>
        </w:tabs>
        <w:ind w:left="3600" w:hanging="360"/>
      </w:pPr>
      <w:rPr>
        <w:rFonts w:ascii="Symbol" w:hAnsi="Symbol" w:cs="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cs="Wingdings" w:hint="default"/>
      </w:rPr>
    </w:lvl>
    <w:lvl w:ilvl="6" w:tplc="08090001" w:tentative="1">
      <w:start w:val="1"/>
      <w:numFmt w:val="bullet"/>
      <w:lvlText w:val=""/>
      <w:lvlJc w:val="left"/>
      <w:pPr>
        <w:tabs>
          <w:tab w:val="num" w:pos="5760"/>
        </w:tabs>
        <w:ind w:left="5760" w:hanging="360"/>
      </w:pPr>
      <w:rPr>
        <w:rFonts w:ascii="Symbol" w:hAnsi="Symbol" w:cs="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cs="Wingdings" w:hint="default"/>
      </w:rPr>
    </w:lvl>
  </w:abstractNum>
  <w:abstractNum w:abstractNumId="9">
    <w:nsid w:val="433927C9"/>
    <w:multiLevelType w:val="hybridMultilevel"/>
    <w:tmpl w:val="18B074F8"/>
    <w:lvl w:ilvl="0" w:tplc="0409000F">
      <w:start w:val="1"/>
      <w:numFmt w:val="decimal"/>
      <w:lvlText w:val="%1."/>
      <w:lvlJc w:val="left"/>
      <w:pPr>
        <w:ind w:left="36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4BC04623"/>
    <w:multiLevelType w:val="hybridMultilevel"/>
    <w:tmpl w:val="3FF05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51CF4342"/>
    <w:multiLevelType w:val="hybridMultilevel"/>
    <w:tmpl w:val="63AC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4262B5"/>
    <w:multiLevelType w:val="hybridMultilevel"/>
    <w:tmpl w:val="1E86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6F05B5"/>
    <w:multiLevelType w:val="hybridMultilevel"/>
    <w:tmpl w:val="01706B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6675521D"/>
    <w:multiLevelType w:val="hybridMultilevel"/>
    <w:tmpl w:val="A0464D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6B2F30D9"/>
    <w:multiLevelType w:val="hybridMultilevel"/>
    <w:tmpl w:val="18B07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607589"/>
    <w:multiLevelType w:val="hybridMultilevel"/>
    <w:tmpl w:val="089A3A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
  </w:num>
  <w:num w:numId="4">
    <w:abstractNumId w:val="6"/>
  </w:num>
  <w:num w:numId="5">
    <w:abstractNumId w:val="0"/>
  </w:num>
  <w:num w:numId="6">
    <w:abstractNumId w:val="14"/>
  </w:num>
  <w:num w:numId="7">
    <w:abstractNumId w:val="5"/>
  </w:num>
  <w:num w:numId="8">
    <w:abstractNumId w:val="16"/>
  </w:num>
  <w:num w:numId="9">
    <w:abstractNumId w:val="8"/>
  </w:num>
  <w:num w:numId="10">
    <w:abstractNumId w:val="12"/>
  </w:num>
  <w:num w:numId="11">
    <w:abstractNumId w:val="2"/>
  </w:num>
  <w:num w:numId="12">
    <w:abstractNumId w:val="3"/>
  </w:num>
  <w:num w:numId="13">
    <w:abstractNumId w:val="7"/>
  </w:num>
  <w:num w:numId="14">
    <w:abstractNumId w:val="4"/>
  </w:num>
  <w:num w:numId="15">
    <w:abstractNumId w:val="9"/>
  </w:num>
  <w:num w:numId="16">
    <w:abstractNumId w:val="1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701"/>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9F093C"/>
    <w:rsid w:val="00001EDE"/>
    <w:rsid w:val="00002C1C"/>
    <w:rsid w:val="00012DAF"/>
    <w:rsid w:val="00013754"/>
    <w:rsid w:val="00017354"/>
    <w:rsid w:val="00017FF6"/>
    <w:rsid w:val="00021FDA"/>
    <w:rsid w:val="00025703"/>
    <w:rsid w:val="00026D23"/>
    <w:rsid w:val="00031C42"/>
    <w:rsid w:val="00042B06"/>
    <w:rsid w:val="00045840"/>
    <w:rsid w:val="000463CC"/>
    <w:rsid w:val="0004685B"/>
    <w:rsid w:val="000470FC"/>
    <w:rsid w:val="00051778"/>
    <w:rsid w:val="00057E61"/>
    <w:rsid w:val="00060949"/>
    <w:rsid w:val="00064860"/>
    <w:rsid w:val="0006554E"/>
    <w:rsid w:val="00066DC2"/>
    <w:rsid w:val="000740C3"/>
    <w:rsid w:val="00076B42"/>
    <w:rsid w:val="00086892"/>
    <w:rsid w:val="00086DC1"/>
    <w:rsid w:val="00092501"/>
    <w:rsid w:val="0009512C"/>
    <w:rsid w:val="0009689C"/>
    <w:rsid w:val="00096B83"/>
    <w:rsid w:val="000A2AE6"/>
    <w:rsid w:val="000A643A"/>
    <w:rsid w:val="000B2F0B"/>
    <w:rsid w:val="000B2F4A"/>
    <w:rsid w:val="000B2F82"/>
    <w:rsid w:val="000B785E"/>
    <w:rsid w:val="000C29F5"/>
    <w:rsid w:val="000C4150"/>
    <w:rsid w:val="000D187D"/>
    <w:rsid w:val="000D30FC"/>
    <w:rsid w:val="000D691A"/>
    <w:rsid w:val="000E4A7F"/>
    <w:rsid w:val="000E4D6D"/>
    <w:rsid w:val="000E57B3"/>
    <w:rsid w:val="000F67A6"/>
    <w:rsid w:val="00100C4F"/>
    <w:rsid w:val="00100EFA"/>
    <w:rsid w:val="00107763"/>
    <w:rsid w:val="00123E3C"/>
    <w:rsid w:val="001303AF"/>
    <w:rsid w:val="001306C1"/>
    <w:rsid w:val="00135AC1"/>
    <w:rsid w:val="00143FDA"/>
    <w:rsid w:val="00164C9C"/>
    <w:rsid w:val="00166656"/>
    <w:rsid w:val="001671C4"/>
    <w:rsid w:val="00170512"/>
    <w:rsid w:val="00170E3A"/>
    <w:rsid w:val="00172DC6"/>
    <w:rsid w:val="00177094"/>
    <w:rsid w:val="00177FC6"/>
    <w:rsid w:val="00183A20"/>
    <w:rsid w:val="00185174"/>
    <w:rsid w:val="00186140"/>
    <w:rsid w:val="001A2425"/>
    <w:rsid w:val="001B05B8"/>
    <w:rsid w:val="001B0659"/>
    <w:rsid w:val="001B2808"/>
    <w:rsid w:val="001B50E2"/>
    <w:rsid w:val="001B58C3"/>
    <w:rsid w:val="001C7C73"/>
    <w:rsid w:val="001D0D8D"/>
    <w:rsid w:val="001D5864"/>
    <w:rsid w:val="001D610B"/>
    <w:rsid w:val="001E100A"/>
    <w:rsid w:val="001E25F5"/>
    <w:rsid w:val="001F1811"/>
    <w:rsid w:val="00200792"/>
    <w:rsid w:val="00212B0C"/>
    <w:rsid w:val="00221682"/>
    <w:rsid w:val="00224E7C"/>
    <w:rsid w:val="0023528B"/>
    <w:rsid w:val="00237002"/>
    <w:rsid w:val="00260015"/>
    <w:rsid w:val="002634F0"/>
    <w:rsid w:val="00266BCA"/>
    <w:rsid w:val="002756D9"/>
    <w:rsid w:val="00286BE2"/>
    <w:rsid w:val="0029116B"/>
    <w:rsid w:val="0029181B"/>
    <w:rsid w:val="002B36C7"/>
    <w:rsid w:val="002B7D93"/>
    <w:rsid w:val="002C5DD6"/>
    <w:rsid w:val="002C7159"/>
    <w:rsid w:val="002D0231"/>
    <w:rsid w:val="002D341E"/>
    <w:rsid w:val="002D4C3B"/>
    <w:rsid w:val="002E77B9"/>
    <w:rsid w:val="002F1733"/>
    <w:rsid w:val="002F431E"/>
    <w:rsid w:val="002F6778"/>
    <w:rsid w:val="00301669"/>
    <w:rsid w:val="0030171B"/>
    <w:rsid w:val="00312019"/>
    <w:rsid w:val="00321571"/>
    <w:rsid w:val="00322039"/>
    <w:rsid w:val="003305B9"/>
    <w:rsid w:val="00330F0C"/>
    <w:rsid w:val="00336230"/>
    <w:rsid w:val="003401A1"/>
    <w:rsid w:val="00354DDC"/>
    <w:rsid w:val="00356AA0"/>
    <w:rsid w:val="00363C58"/>
    <w:rsid w:val="00364B8F"/>
    <w:rsid w:val="003656DC"/>
    <w:rsid w:val="00366424"/>
    <w:rsid w:val="003952E9"/>
    <w:rsid w:val="0039776C"/>
    <w:rsid w:val="003A3D96"/>
    <w:rsid w:val="003B0C6F"/>
    <w:rsid w:val="003B5EC9"/>
    <w:rsid w:val="003C337F"/>
    <w:rsid w:val="003C5385"/>
    <w:rsid w:val="003C5F20"/>
    <w:rsid w:val="003C5FDC"/>
    <w:rsid w:val="003D0292"/>
    <w:rsid w:val="003D2FED"/>
    <w:rsid w:val="003D581C"/>
    <w:rsid w:val="003D663A"/>
    <w:rsid w:val="003D690E"/>
    <w:rsid w:val="003E197F"/>
    <w:rsid w:val="003E4F28"/>
    <w:rsid w:val="003F204E"/>
    <w:rsid w:val="003F29C5"/>
    <w:rsid w:val="00401816"/>
    <w:rsid w:val="004140A5"/>
    <w:rsid w:val="00416138"/>
    <w:rsid w:val="0041747D"/>
    <w:rsid w:val="00417DC5"/>
    <w:rsid w:val="004212DB"/>
    <w:rsid w:val="0042187C"/>
    <w:rsid w:val="004326AF"/>
    <w:rsid w:val="0044217C"/>
    <w:rsid w:val="00447F7C"/>
    <w:rsid w:val="004536AA"/>
    <w:rsid w:val="004549D2"/>
    <w:rsid w:val="00455043"/>
    <w:rsid w:val="00460495"/>
    <w:rsid w:val="004671DC"/>
    <w:rsid w:val="0046743D"/>
    <w:rsid w:val="00470ABE"/>
    <w:rsid w:val="00471B51"/>
    <w:rsid w:val="00473828"/>
    <w:rsid w:val="00473FF4"/>
    <w:rsid w:val="0048000D"/>
    <w:rsid w:val="00482CB7"/>
    <w:rsid w:val="00493664"/>
    <w:rsid w:val="00493A8C"/>
    <w:rsid w:val="004A29EF"/>
    <w:rsid w:val="004B1E36"/>
    <w:rsid w:val="004B2D87"/>
    <w:rsid w:val="004B7415"/>
    <w:rsid w:val="004C0AF5"/>
    <w:rsid w:val="004C1213"/>
    <w:rsid w:val="004C14CA"/>
    <w:rsid w:val="004C5852"/>
    <w:rsid w:val="004D48CF"/>
    <w:rsid w:val="004D4C54"/>
    <w:rsid w:val="004D5202"/>
    <w:rsid w:val="004F0D6B"/>
    <w:rsid w:val="004F72AE"/>
    <w:rsid w:val="00502D16"/>
    <w:rsid w:val="0051439A"/>
    <w:rsid w:val="00520812"/>
    <w:rsid w:val="00521145"/>
    <w:rsid w:val="0052661E"/>
    <w:rsid w:val="005421DC"/>
    <w:rsid w:val="0054707E"/>
    <w:rsid w:val="005517B3"/>
    <w:rsid w:val="005610AC"/>
    <w:rsid w:val="0056158B"/>
    <w:rsid w:val="00561F03"/>
    <w:rsid w:val="00562507"/>
    <w:rsid w:val="00562E4C"/>
    <w:rsid w:val="00564A7B"/>
    <w:rsid w:val="0056711D"/>
    <w:rsid w:val="005706FC"/>
    <w:rsid w:val="00576118"/>
    <w:rsid w:val="0058035C"/>
    <w:rsid w:val="0058337A"/>
    <w:rsid w:val="0059478F"/>
    <w:rsid w:val="00594861"/>
    <w:rsid w:val="005A204B"/>
    <w:rsid w:val="005B554D"/>
    <w:rsid w:val="005B5A30"/>
    <w:rsid w:val="005B71DA"/>
    <w:rsid w:val="005C38E5"/>
    <w:rsid w:val="005C67A1"/>
    <w:rsid w:val="005C71B7"/>
    <w:rsid w:val="005D346B"/>
    <w:rsid w:val="005D515B"/>
    <w:rsid w:val="005D68E3"/>
    <w:rsid w:val="005E341F"/>
    <w:rsid w:val="005E357E"/>
    <w:rsid w:val="005E6CA3"/>
    <w:rsid w:val="005F0C46"/>
    <w:rsid w:val="006156A8"/>
    <w:rsid w:val="00620A05"/>
    <w:rsid w:val="0062712A"/>
    <w:rsid w:val="00633F47"/>
    <w:rsid w:val="006345ED"/>
    <w:rsid w:val="006364D1"/>
    <w:rsid w:val="00650E2A"/>
    <w:rsid w:val="00651AC0"/>
    <w:rsid w:val="0065335D"/>
    <w:rsid w:val="00661D6B"/>
    <w:rsid w:val="006662E6"/>
    <w:rsid w:val="0066713C"/>
    <w:rsid w:val="006800F2"/>
    <w:rsid w:val="00680A04"/>
    <w:rsid w:val="0068356E"/>
    <w:rsid w:val="006979E3"/>
    <w:rsid w:val="006A22FE"/>
    <w:rsid w:val="006A7DC0"/>
    <w:rsid w:val="006B292A"/>
    <w:rsid w:val="006B648A"/>
    <w:rsid w:val="006B7246"/>
    <w:rsid w:val="006B7FE4"/>
    <w:rsid w:val="006C5C27"/>
    <w:rsid w:val="006D0F84"/>
    <w:rsid w:val="006D48C5"/>
    <w:rsid w:val="006E0E64"/>
    <w:rsid w:val="00706764"/>
    <w:rsid w:val="00707C41"/>
    <w:rsid w:val="00712282"/>
    <w:rsid w:val="00713218"/>
    <w:rsid w:val="00713BA6"/>
    <w:rsid w:val="007152DC"/>
    <w:rsid w:val="0072130A"/>
    <w:rsid w:val="00724A33"/>
    <w:rsid w:val="00724ADD"/>
    <w:rsid w:val="007349C5"/>
    <w:rsid w:val="00734E34"/>
    <w:rsid w:val="007449E4"/>
    <w:rsid w:val="00745C87"/>
    <w:rsid w:val="00751CED"/>
    <w:rsid w:val="007552A0"/>
    <w:rsid w:val="00757820"/>
    <w:rsid w:val="00764217"/>
    <w:rsid w:val="007734E4"/>
    <w:rsid w:val="00784C30"/>
    <w:rsid w:val="007871BA"/>
    <w:rsid w:val="00790C67"/>
    <w:rsid w:val="007916E2"/>
    <w:rsid w:val="007A07CA"/>
    <w:rsid w:val="007A1AAB"/>
    <w:rsid w:val="007A62AC"/>
    <w:rsid w:val="007B28E2"/>
    <w:rsid w:val="007B4367"/>
    <w:rsid w:val="007C3B7F"/>
    <w:rsid w:val="007C49A3"/>
    <w:rsid w:val="007C5054"/>
    <w:rsid w:val="007D0613"/>
    <w:rsid w:val="007D680D"/>
    <w:rsid w:val="007D7E11"/>
    <w:rsid w:val="007F0DB4"/>
    <w:rsid w:val="007F32C4"/>
    <w:rsid w:val="007F3CC4"/>
    <w:rsid w:val="007F457F"/>
    <w:rsid w:val="007F4C6C"/>
    <w:rsid w:val="007F685D"/>
    <w:rsid w:val="0080096F"/>
    <w:rsid w:val="00803C6B"/>
    <w:rsid w:val="0082515D"/>
    <w:rsid w:val="00825571"/>
    <w:rsid w:val="008313DD"/>
    <w:rsid w:val="008318BF"/>
    <w:rsid w:val="00834CEF"/>
    <w:rsid w:val="00837154"/>
    <w:rsid w:val="0084175D"/>
    <w:rsid w:val="008625D1"/>
    <w:rsid w:val="00862838"/>
    <w:rsid w:val="008657BF"/>
    <w:rsid w:val="0086581B"/>
    <w:rsid w:val="008666A3"/>
    <w:rsid w:val="00892D6A"/>
    <w:rsid w:val="00893146"/>
    <w:rsid w:val="00893647"/>
    <w:rsid w:val="008A3E2E"/>
    <w:rsid w:val="008A5E04"/>
    <w:rsid w:val="008B115D"/>
    <w:rsid w:val="008B4F5E"/>
    <w:rsid w:val="008B59A4"/>
    <w:rsid w:val="008B62B5"/>
    <w:rsid w:val="008B66A7"/>
    <w:rsid w:val="008B74B2"/>
    <w:rsid w:val="008C23AB"/>
    <w:rsid w:val="008D2808"/>
    <w:rsid w:val="008D3EDD"/>
    <w:rsid w:val="008D40DD"/>
    <w:rsid w:val="008D5F20"/>
    <w:rsid w:val="008E57E6"/>
    <w:rsid w:val="008E6D8A"/>
    <w:rsid w:val="00901EB5"/>
    <w:rsid w:val="00905ED7"/>
    <w:rsid w:val="009135F5"/>
    <w:rsid w:val="00913F8C"/>
    <w:rsid w:val="00914953"/>
    <w:rsid w:val="009159CE"/>
    <w:rsid w:val="00917ECF"/>
    <w:rsid w:val="00931FDB"/>
    <w:rsid w:val="00935643"/>
    <w:rsid w:val="00943439"/>
    <w:rsid w:val="00947220"/>
    <w:rsid w:val="009552F7"/>
    <w:rsid w:val="009555F7"/>
    <w:rsid w:val="00967C15"/>
    <w:rsid w:val="00971F71"/>
    <w:rsid w:val="00972F01"/>
    <w:rsid w:val="00976F5A"/>
    <w:rsid w:val="00980497"/>
    <w:rsid w:val="00981E6E"/>
    <w:rsid w:val="0098575D"/>
    <w:rsid w:val="00997663"/>
    <w:rsid w:val="009A58A0"/>
    <w:rsid w:val="009C5B3F"/>
    <w:rsid w:val="009D18A4"/>
    <w:rsid w:val="009D5EFE"/>
    <w:rsid w:val="009D7FEE"/>
    <w:rsid w:val="009E552D"/>
    <w:rsid w:val="009E7DFE"/>
    <w:rsid w:val="009F093C"/>
    <w:rsid w:val="009F2676"/>
    <w:rsid w:val="009F35FB"/>
    <w:rsid w:val="009F7721"/>
    <w:rsid w:val="009F7D80"/>
    <w:rsid w:val="00A0097C"/>
    <w:rsid w:val="00A01FB8"/>
    <w:rsid w:val="00A02303"/>
    <w:rsid w:val="00A04759"/>
    <w:rsid w:val="00A12250"/>
    <w:rsid w:val="00A1316A"/>
    <w:rsid w:val="00A14B4D"/>
    <w:rsid w:val="00A17802"/>
    <w:rsid w:val="00A22D90"/>
    <w:rsid w:val="00A22F17"/>
    <w:rsid w:val="00A24186"/>
    <w:rsid w:val="00A25B60"/>
    <w:rsid w:val="00A3143B"/>
    <w:rsid w:val="00A33B1F"/>
    <w:rsid w:val="00A3571D"/>
    <w:rsid w:val="00A41F13"/>
    <w:rsid w:val="00A46BAC"/>
    <w:rsid w:val="00A4747E"/>
    <w:rsid w:val="00A51038"/>
    <w:rsid w:val="00A511E4"/>
    <w:rsid w:val="00A572DF"/>
    <w:rsid w:val="00A573BC"/>
    <w:rsid w:val="00A57C0A"/>
    <w:rsid w:val="00A676D4"/>
    <w:rsid w:val="00A70F26"/>
    <w:rsid w:val="00A7700F"/>
    <w:rsid w:val="00A770E6"/>
    <w:rsid w:val="00A77691"/>
    <w:rsid w:val="00A801D2"/>
    <w:rsid w:val="00A823F6"/>
    <w:rsid w:val="00A85963"/>
    <w:rsid w:val="00A907A0"/>
    <w:rsid w:val="00A91522"/>
    <w:rsid w:val="00AA1353"/>
    <w:rsid w:val="00AA2C57"/>
    <w:rsid w:val="00AA3449"/>
    <w:rsid w:val="00AA4C5C"/>
    <w:rsid w:val="00AA61A6"/>
    <w:rsid w:val="00AB3FF0"/>
    <w:rsid w:val="00AC06CF"/>
    <w:rsid w:val="00AC451C"/>
    <w:rsid w:val="00AC5C76"/>
    <w:rsid w:val="00AD0D42"/>
    <w:rsid w:val="00AD1567"/>
    <w:rsid w:val="00AD3A9A"/>
    <w:rsid w:val="00AE2B2C"/>
    <w:rsid w:val="00AF5690"/>
    <w:rsid w:val="00AF5ACC"/>
    <w:rsid w:val="00AF6100"/>
    <w:rsid w:val="00B024DC"/>
    <w:rsid w:val="00B0349D"/>
    <w:rsid w:val="00B079E6"/>
    <w:rsid w:val="00B132D6"/>
    <w:rsid w:val="00B241DC"/>
    <w:rsid w:val="00B25907"/>
    <w:rsid w:val="00B34298"/>
    <w:rsid w:val="00B40E82"/>
    <w:rsid w:val="00B4180A"/>
    <w:rsid w:val="00B427CF"/>
    <w:rsid w:val="00B42BD0"/>
    <w:rsid w:val="00B439A8"/>
    <w:rsid w:val="00B46EC8"/>
    <w:rsid w:val="00B557D4"/>
    <w:rsid w:val="00B60076"/>
    <w:rsid w:val="00B7071B"/>
    <w:rsid w:val="00B70F31"/>
    <w:rsid w:val="00B7438C"/>
    <w:rsid w:val="00B745A3"/>
    <w:rsid w:val="00B76FD9"/>
    <w:rsid w:val="00B87B97"/>
    <w:rsid w:val="00B92893"/>
    <w:rsid w:val="00B958BD"/>
    <w:rsid w:val="00B95A44"/>
    <w:rsid w:val="00B96320"/>
    <w:rsid w:val="00B96971"/>
    <w:rsid w:val="00BA59F4"/>
    <w:rsid w:val="00BB67A8"/>
    <w:rsid w:val="00BC5199"/>
    <w:rsid w:val="00BE0F20"/>
    <w:rsid w:val="00BE215F"/>
    <w:rsid w:val="00C01038"/>
    <w:rsid w:val="00C034E7"/>
    <w:rsid w:val="00C06052"/>
    <w:rsid w:val="00C31765"/>
    <w:rsid w:val="00C5402E"/>
    <w:rsid w:val="00C60CB2"/>
    <w:rsid w:val="00C75D4C"/>
    <w:rsid w:val="00C77F2C"/>
    <w:rsid w:val="00C864EE"/>
    <w:rsid w:val="00C87672"/>
    <w:rsid w:val="00CA17DF"/>
    <w:rsid w:val="00CB5365"/>
    <w:rsid w:val="00CB684F"/>
    <w:rsid w:val="00CC0B22"/>
    <w:rsid w:val="00CC381A"/>
    <w:rsid w:val="00CD0277"/>
    <w:rsid w:val="00CE2735"/>
    <w:rsid w:val="00CF07BC"/>
    <w:rsid w:val="00CF1842"/>
    <w:rsid w:val="00D04414"/>
    <w:rsid w:val="00D11724"/>
    <w:rsid w:val="00D1750D"/>
    <w:rsid w:val="00D33390"/>
    <w:rsid w:val="00D33CB9"/>
    <w:rsid w:val="00D34048"/>
    <w:rsid w:val="00D358C4"/>
    <w:rsid w:val="00D40A7F"/>
    <w:rsid w:val="00D424A5"/>
    <w:rsid w:val="00D42903"/>
    <w:rsid w:val="00D42C51"/>
    <w:rsid w:val="00D51A7A"/>
    <w:rsid w:val="00D53440"/>
    <w:rsid w:val="00D5766F"/>
    <w:rsid w:val="00D83517"/>
    <w:rsid w:val="00D94BB6"/>
    <w:rsid w:val="00D9690E"/>
    <w:rsid w:val="00DA75BA"/>
    <w:rsid w:val="00DA781F"/>
    <w:rsid w:val="00DB29C2"/>
    <w:rsid w:val="00DB2ABE"/>
    <w:rsid w:val="00DB4CDB"/>
    <w:rsid w:val="00DB586C"/>
    <w:rsid w:val="00DB63ED"/>
    <w:rsid w:val="00DC026B"/>
    <w:rsid w:val="00DC4D1F"/>
    <w:rsid w:val="00DD01C7"/>
    <w:rsid w:val="00DD111F"/>
    <w:rsid w:val="00DD36DA"/>
    <w:rsid w:val="00DD624A"/>
    <w:rsid w:val="00DE4E7C"/>
    <w:rsid w:val="00DE6073"/>
    <w:rsid w:val="00DE6C35"/>
    <w:rsid w:val="00DF1FF6"/>
    <w:rsid w:val="00DF384C"/>
    <w:rsid w:val="00E04035"/>
    <w:rsid w:val="00E05C5F"/>
    <w:rsid w:val="00E0776B"/>
    <w:rsid w:val="00E10195"/>
    <w:rsid w:val="00E11CE5"/>
    <w:rsid w:val="00E2105C"/>
    <w:rsid w:val="00E25119"/>
    <w:rsid w:val="00E31A48"/>
    <w:rsid w:val="00E33BB4"/>
    <w:rsid w:val="00E51266"/>
    <w:rsid w:val="00E554CA"/>
    <w:rsid w:val="00E5633A"/>
    <w:rsid w:val="00E60622"/>
    <w:rsid w:val="00E63088"/>
    <w:rsid w:val="00E63B4A"/>
    <w:rsid w:val="00E65E79"/>
    <w:rsid w:val="00E75876"/>
    <w:rsid w:val="00E907EA"/>
    <w:rsid w:val="00E90DB0"/>
    <w:rsid w:val="00E9213C"/>
    <w:rsid w:val="00E93D8C"/>
    <w:rsid w:val="00E9701E"/>
    <w:rsid w:val="00EA30E6"/>
    <w:rsid w:val="00EA41E4"/>
    <w:rsid w:val="00EB02AE"/>
    <w:rsid w:val="00EB20AE"/>
    <w:rsid w:val="00EB5268"/>
    <w:rsid w:val="00EB7755"/>
    <w:rsid w:val="00EC21CA"/>
    <w:rsid w:val="00ED3B6F"/>
    <w:rsid w:val="00ED3C77"/>
    <w:rsid w:val="00EE3F3A"/>
    <w:rsid w:val="00EE42E8"/>
    <w:rsid w:val="00EE6B46"/>
    <w:rsid w:val="00EF14A8"/>
    <w:rsid w:val="00EF2B21"/>
    <w:rsid w:val="00EF5A43"/>
    <w:rsid w:val="00F05A33"/>
    <w:rsid w:val="00F07B56"/>
    <w:rsid w:val="00F225EE"/>
    <w:rsid w:val="00F2278C"/>
    <w:rsid w:val="00F33068"/>
    <w:rsid w:val="00F33F60"/>
    <w:rsid w:val="00F34021"/>
    <w:rsid w:val="00F35A17"/>
    <w:rsid w:val="00F37B84"/>
    <w:rsid w:val="00F40AC2"/>
    <w:rsid w:val="00F40B41"/>
    <w:rsid w:val="00F42108"/>
    <w:rsid w:val="00F4359B"/>
    <w:rsid w:val="00F43D6A"/>
    <w:rsid w:val="00F44EBE"/>
    <w:rsid w:val="00F44EE1"/>
    <w:rsid w:val="00F4634A"/>
    <w:rsid w:val="00F46E81"/>
    <w:rsid w:val="00F47ABF"/>
    <w:rsid w:val="00F47C67"/>
    <w:rsid w:val="00F51DA7"/>
    <w:rsid w:val="00F52D66"/>
    <w:rsid w:val="00F55F2E"/>
    <w:rsid w:val="00F63BFD"/>
    <w:rsid w:val="00F66BD1"/>
    <w:rsid w:val="00F700B3"/>
    <w:rsid w:val="00F7048E"/>
    <w:rsid w:val="00F718B8"/>
    <w:rsid w:val="00F768FF"/>
    <w:rsid w:val="00F77FEF"/>
    <w:rsid w:val="00F86EDC"/>
    <w:rsid w:val="00F9431A"/>
    <w:rsid w:val="00F9560F"/>
    <w:rsid w:val="00F95A91"/>
    <w:rsid w:val="00F962A1"/>
    <w:rsid w:val="00F9759A"/>
    <w:rsid w:val="00FA3769"/>
    <w:rsid w:val="00FA55AF"/>
    <w:rsid w:val="00FA5958"/>
    <w:rsid w:val="00FB0787"/>
    <w:rsid w:val="00FB4815"/>
    <w:rsid w:val="00FB4D82"/>
    <w:rsid w:val="00FC4018"/>
    <w:rsid w:val="00FC4BCA"/>
    <w:rsid w:val="00FC6B4A"/>
    <w:rsid w:val="00FC799A"/>
    <w:rsid w:val="00FD1ED1"/>
    <w:rsid w:val="00FD5972"/>
    <w:rsid w:val="00FE2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2A"/>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C38E5"/>
    <w:rPr>
      <w:sz w:val="20"/>
      <w:szCs w:val="20"/>
    </w:rPr>
  </w:style>
  <w:style w:type="character" w:customStyle="1" w:styleId="FootnoteTextChar">
    <w:name w:val="Footnote Text Char"/>
    <w:basedOn w:val="DefaultParagraphFont"/>
    <w:link w:val="FootnoteText"/>
    <w:uiPriority w:val="99"/>
    <w:semiHidden/>
    <w:rsid w:val="005C38E5"/>
  </w:style>
  <w:style w:type="character" w:styleId="FootnoteReference">
    <w:name w:val="footnote reference"/>
    <w:basedOn w:val="DefaultParagraphFont"/>
    <w:uiPriority w:val="99"/>
    <w:semiHidden/>
    <w:rsid w:val="005C38E5"/>
    <w:rPr>
      <w:vertAlign w:val="superscript"/>
    </w:rPr>
  </w:style>
  <w:style w:type="paragraph" w:styleId="ListParagraph">
    <w:name w:val="List Paragraph"/>
    <w:basedOn w:val="Normal"/>
    <w:uiPriority w:val="34"/>
    <w:qFormat/>
    <w:rsid w:val="00F4634A"/>
    <w:pPr>
      <w:ind w:left="720"/>
      <w:contextualSpacing/>
    </w:pPr>
  </w:style>
  <w:style w:type="paragraph" w:styleId="Footer">
    <w:name w:val="footer"/>
    <w:basedOn w:val="Normal"/>
    <w:link w:val="FooterChar"/>
    <w:uiPriority w:val="99"/>
    <w:semiHidden/>
    <w:rsid w:val="00B60076"/>
    <w:pPr>
      <w:tabs>
        <w:tab w:val="center" w:pos="4320"/>
        <w:tab w:val="right" w:pos="8640"/>
      </w:tabs>
    </w:pPr>
  </w:style>
  <w:style w:type="character" w:customStyle="1" w:styleId="FooterChar">
    <w:name w:val="Footer Char"/>
    <w:basedOn w:val="DefaultParagraphFont"/>
    <w:link w:val="Footer"/>
    <w:uiPriority w:val="99"/>
    <w:semiHidden/>
    <w:rsid w:val="00B60076"/>
    <w:rPr>
      <w:sz w:val="24"/>
      <w:szCs w:val="24"/>
    </w:rPr>
  </w:style>
  <w:style w:type="character" w:styleId="PageNumber">
    <w:name w:val="page number"/>
    <w:basedOn w:val="DefaultParagraphFont"/>
    <w:uiPriority w:val="99"/>
    <w:semiHidden/>
    <w:rsid w:val="00B60076"/>
  </w:style>
  <w:style w:type="paragraph" w:styleId="BalloonText">
    <w:name w:val="Balloon Text"/>
    <w:basedOn w:val="Normal"/>
    <w:link w:val="BalloonTextChar"/>
    <w:uiPriority w:val="99"/>
    <w:semiHidden/>
    <w:rsid w:val="00F95A91"/>
    <w:rPr>
      <w:rFonts w:ascii="Tahoma" w:hAnsi="Tahoma" w:cs="Tahoma"/>
      <w:sz w:val="16"/>
      <w:szCs w:val="16"/>
    </w:rPr>
  </w:style>
  <w:style w:type="character" w:customStyle="1" w:styleId="BalloonTextChar">
    <w:name w:val="Balloon Text Char"/>
    <w:basedOn w:val="DefaultParagraphFont"/>
    <w:link w:val="BalloonText"/>
    <w:uiPriority w:val="99"/>
    <w:semiHidden/>
    <w:rsid w:val="00F95A91"/>
    <w:rPr>
      <w:rFonts w:ascii="Tahoma" w:hAnsi="Tahoma" w:cs="Tahoma"/>
      <w:sz w:val="16"/>
      <w:szCs w:val="16"/>
    </w:rPr>
  </w:style>
  <w:style w:type="paragraph" w:styleId="NoSpacing">
    <w:name w:val="No Spacing"/>
    <w:link w:val="NoSpacingChar"/>
    <w:uiPriority w:val="1"/>
    <w:qFormat/>
    <w:rsid w:val="004536AA"/>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4536AA"/>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FFD7B-870C-4E4B-8FFC-3036177D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4267</Words>
  <Characters>24322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3/7/2011 12:07 PM    Draft CTF Learning Brief</vt:lpstr>
    </vt:vector>
  </TitlesOfParts>
  <Company>The World Bank Group</Company>
  <LinksUpToDate>false</LinksUpToDate>
  <CharactersWithSpaces>28532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3/7/2011 12:07 PM    Draft CTF Learning Brief</dc:title>
  <dc:creator>Shirley Geer</dc:creator>
  <cp:lastModifiedBy>wb256965</cp:lastModifiedBy>
  <cp:revision>2</cp:revision>
  <cp:lastPrinted>2011-04-27T15:02:00Z</cp:lastPrinted>
  <dcterms:created xsi:type="dcterms:W3CDTF">2011-05-09T15:32:00Z</dcterms:created>
  <dcterms:modified xsi:type="dcterms:W3CDTF">2011-05-09T15:32:00Z</dcterms:modified>
</cp:coreProperties>
</file>